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A820C" w14:textId="6B2C13C3" w:rsidR="009E7315" w:rsidRPr="00056FD2" w:rsidRDefault="00A53341" w:rsidP="009843C3">
      <w:pPr>
        <w:pStyle w:val="ConsPlusNonformat"/>
        <w:widowControl/>
        <w:spacing w:line="280" w:lineRule="exact"/>
        <w:ind w:right="41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</w:t>
      </w:r>
      <w:r w:rsidR="00056FD2" w:rsidRPr="00056FD2">
        <w:rPr>
          <w:rFonts w:ascii="Times New Roman" w:hAnsi="Times New Roman" w:cs="Times New Roman"/>
          <w:b/>
          <w:sz w:val="30"/>
          <w:szCs w:val="30"/>
        </w:rPr>
        <w:t>омментарий к</w:t>
      </w:r>
      <w:r w:rsidR="00CB2D72" w:rsidRPr="00056FD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56FD2" w:rsidRPr="00056FD2">
        <w:rPr>
          <w:rFonts w:ascii="Times New Roman" w:hAnsi="Times New Roman" w:cs="Times New Roman"/>
          <w:b/>
          <w:sz w:val="30"/>
          <w:szCs w:val="30"/>
        </w:rPr>
        <w:t>постановлению</w:t>
      </w:r>
      <w:r w:rsidR="00CE399F" w:rsidRPr="00056FD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9104F" w:rsidRPr="00056FD2">
        <w:rPr>
          <w:rFonts w:ascii="Times New Roman" w:hAnsi="Times New Roman" w:cs="Times New Roman"/>
          <w:b/>
          <w:sz w:val="30"/>
          <w:szCs w:val="30"/>
        </w:rPr>
        <w:t>Совета Министров</w:t>
      </w:r>
      <w:r w:rsidR="00C764DE" w:rsidRPr="00056FD2">
        <w:rPr>
          <w:rFonts w:ascii="Times New Roman" w:hAnsi="Times New Roman" w:cs="Times New Roman"/>
          <w:b/>
          <w:sz w:val="30"/>
          <w:szCs w:val="30"/>
        </w:rPr>
        <w:t xml:space="preserve"> Республики Беларусь</w:t>
      </w:r>
      <w:r w:rsidR="00056FD2" w:rsidRPr="00056FD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843C3">
        <w:rPr>
          <w:rFonts w:ascii="Times New Roman" w:hAnsi="Times New Roman" w:cs="Times New Roman"/>
          <w:b/>
          <w:sz w:val="30"/>
          <w:szCs w:val="30"/>
        </w:rPr>
        <w:t xml:space="preserve">                   </w:t>
      </w:r>
      <w:r w:rsidR="00056FD2" w:rsidRPr="00056FD2">
        <w:rPr>
          <w:rFonts w:ascii="Times New Roman" w:hAnsi="Times New Roman" w:cs="Times New Roman"/>
          <w:b/>
          <w:sz w:val="30"/>
          <w:szCs w:val="30"/>
        </w:rPr>
        <w:t xml:space="preserve">от </w:t>
      </w:r>
      <w:r w:rsidR="00F943DF">
        <w:rPr>
          <w:rFonts w:ascii="Times New Roman" w:hAnsi="Times New Roman" w:cs="Times New Roman"/>
          <w:b/>
          <w:sz w:val="30"/>
          <w:szCs w:val="30"/>
        </w:rPr>
        <w:t>25</w:t>
      </w:r>
      <w:r w:rsidR="00056FD2" w:rsidRPr="00056FD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943DF">
        <w:rPr>
          <w:rFonts w:ascii="Times New Roman" w:hAnsi="Times New Roman" w:cs="Times New Roman"/>
          <w:b/>
          <w:sz w:val="30"/>
          <w:szCs w:val="30"/>
        </w:rPr>
        <w:t>июля</w:t>
      </w:r>
      <w:r w:rsidR="00056FD2" w:rsidRPr="00056FD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943DF">
        <w:rPr>
          <w:rFonts w:ascii="Times New Roman" w:hAnsi="Times New Roman" w:cs="Times New Roman"/>
          <w:b/>
          <w:sz w:val="30"/>
          <w:szCs w:val="30"/>
        </w:rPr>
        <w:t>2024</w:t>
      </w:r>
      <w:r w:rsidR="00056FD2" w:rsidRPr="00056FD2">
        <w:rPr>
          <w:rFonts w:ascii="Times New Roman" w:hAnsi="Times New Roman" w:cs="Times New Roman"/>
          <w:b/>
          <w:sz w:val="30"/>
          <w:szCs w:val="30"/>
        </w:rPr>
        <w:t xml:space="preserve"> г. № </w:t>
      </w:r>
      <w:r w:rsidR="00F943DF">
        <w:rPr>
          <w:rFonts w:ascii="Times New Roman" w:hAnsi="Times New Roman" w:cs="Times New Roman"/>
          <w:b/>
          <w:sz w:val="30"/>
          <w:szCs w:val="30"/>
        </w:rPr>
        <w:t>516</w:t>
      </w:r>
      <w:r w:rsidR="00CE399F" w:rsidRPr="00056FD2">
        <w:rPr>
          <w:rFonts w:ascii="Times New Roman" w:hAnsi="Times New Roman" w:cs="Times New Roman"/>
          <w:b/>
          <w:sz w:val="30"/>
          <w:szCs w:val="30"/>
        </w:rPr>
        <w:t xml:space="preserve"> «</w:t>
      </w:r>
      <w:r w:rsidR="00F943DF">
        <w:rPr>
          <w:rFonts w:ascii="Times New Roman" w:hAnsi="Times New Roman" w:cs="Times New Roman"/>
          <w:b/>
          <w:sz w:val="30"/>
          <w:szCs w:val="30"/>
        </w:rPr>
        <w:t>Об изменении постановления Совета Министров Республики Беларусь от 1 апреля 2011 г. № 424</w:t>
      </w:r>
      <w:r w:rsidR="00CE399F" w:rsidRPr="00056FD2">
        <w:rPr>
          <w:rFonts w:ascii="Times New Roman" w:hAnsi="Times New Roman" w:cs="Times New Roman"/>
          <w:b/>
          <w:sz w:val="30"/>
          <w:szCs w:val="30"/>
        </w:rPr>
        <w:t>»</w:t>
      </w:r>
      <w:r w:rsidR="00056FD2">
        <w:rPr>
          <w:rFonts w:ascii="Times New Roman" w:hAnsi="Times New Roman" w:cs="Times New Roman"/>
          <w:b/>
          <w:sz w:val="30"/>
          <w:szCs w:val="30"/>
        </w:rPr>
        <w:t>.</w:t>
      </w:r>
    </w:p>
    <w:p w14:paraId="74EC0091" w14:textId="77777777" w:rsidR="002F3395" w:rsidRPr="00663BE9" w:rsidRDefault="002F3395" w:rsidP="002F3395">
      <w:pPr>
        <w:pStyle w:val="ConsPlusNonformat"/>
        <w:widowControl/>
        <w:ind w:right="2799"/>
        <w:jc w:val="both"/>
        <w:rPr>
          <w:sz w:val="30"/>
          <w:szCs w:val="30"/>
        </w:rPr>
      </w:pPr>
    </w:p>
    <w:p w14:paraId="156BBB3D" w14:textId="21E8A9AD" w:rsidR="00F943DF" w:rsidRPr="00F943DF" w:rsidRDefault="00F943DF" w:rsidP="00F943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943DF">
        <w:rPr>
          <w:rFonts w:ascii="Times New Roman" w:hAnsi="Times New Roman" w:cs="Times New Roman"/>
          <w:spacing w:val="-2"/>
          <w:sz w:val="30"/>
          <w:szCs w:val="30"/>
        </w:rPr>
        <w:t>Правительством 25 июля 2024 г. принято постановление № 516 «</w:t>
      </w:r>
      <w:r w:rsidRPr="00F943DF">
        <w:rPr>
          <w:rFonts w:ascii="Times New Roman" w:hAnsi="Times New Roman" w:cs="Times New Roman"/>
          <w:sz w:val="30"/>
          <w:szCs w:val="30"/>
        </w:rPr>
        <w:t>Об изменении постановления Совета Министров Республики Беларусь от 1 апреля 2011 г. № 424</w:t>
      </w:r>
      <w:r w:rsidRPr="00F943DF">
        <w:rPr>
          <w:rFonts w:ascii="Times New Roman" w:hAnsi="Times New Roman" w:cs="Times New Roman"/>
          <w:spacing w:val="-2"/>
          <w:sz w:val="30"/>
          <w:szCs w:val="30"/>
        </w:rPr>
        <w:t xml:space="preserve">» (далее – постановление), направленное </w:t>
      </w:r>
      <w:r>
        <w:rPr>
          <w:rFonts w:ascii="Times New Roman" w:hAnsi="Times New Roman" w:cs="Times New Roman"/>
          <w:spacing w:val="-2"/>
          <w:sz w:val="30"/>
          <w:szCs w:val="30"/>
        </w:rPr>
        <w:t xml:space="preserve">на </w:t>
      </w:r>
      <w:r w:rsidRPr="00F943DF">
        <w:rPr>
          <w:rFonts w:ascii="Times New Roman" w:hAnsi="Times New Roman" w:cs="Times New Roman"/>
          <w:sz w:val="30"/>
          <w:szCs w:val="30"/>
        </w:rPr>
        <w:t>совершенствовани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F943DF">
        <w:rPr>
          <w:rFonts w:ascii="Times New Roman" w:hAnsi="Times New Roman" w:cs="Times New Roman"/>
          <w:sz w:val="30"/>
          <w:szCs w:val="30"/>
        </w:rPr>
        <w:t xml:space="preserve"> порядка ведения Государственного реестра моделей игровых автоматов, допущенных к использованию в Республике Беларусь (далее – Государственный реестр), правового регулирования деятельности в сфере игорного бизнеса.</w:t>
      </w:r>
      <w:r w:rsidRPr="00F943D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14:paraId="03FBA5FF" w14:textId="57F3C0C7" w:rsidR="009843C3" w:rsidRDefault="00B142CD" w:rsidP="00B142CD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Постановлением </w:t>
      </w:r>
      <w:r w:rsidR="009843C3">
        <w:rPr>
          <w:sz w:val="30"/>
          <w:szCs w:val="30"/>
        </w:rPr>
        <w:t xml:space="preserve">в постановление Совета Министров Республики Беларусь от 1 апреля 2011 г. № 424 (далее – постановление № 424) </w:t>
      </w:r>
      <w:r>
        <w:rPr>
          <w:sz w:val="30"/>
          <w:szCs w:val="30"/>
        </w:rPr>
        <w:t xml:space="preserve">вносятся </w:t>
      </w:r>
      <w:r w:rsidR="009843C3">
        <w:rPr>
          <w:sz w:val="30"/>
          <w:szCs w:val="30"/>
        </w:rPr>
        <w:t>правки редакционно</w:t>
      </w:r>
      <w:r w:rsidR="00C705E9">
        <w:rPr>
          <w:sz w:val="30"/>
          <w:szCs w:val="30"/>
        </w:rPr>
        <w:t>-технического характера (в част</w:t>
      </w:r>
      <w:r w:rsidR="009843C3">
        <w:rPr>
          <w:sz w:val="30"/>
          <w:szCs w:val="30"/>
        </w:rPr>
        <w:t>ности, изменено название постановления № 424</w:t>
      </w:r>
      <w:r w:rsidR="00BE159A">
        <w:rPr>
          <w:sz w:val="30"/>
          <w:szCs w:val="30"/>
        </w:rPr>
        <w:t xml:space="preserve"> на «О Государственном реестре моделей игровых автоматов»</w:t>
      </w:r>
      <w:r w:rsidR="009843C3">
        <w:rPr>
          <w:sz w:val="30"/>
          <w:szCs w:val="30"/>
        </w:rPr>
        <w:t>), а также следующие изменения.</w:t>
      </w:r>
    </w:p>
    <w:p w14:paraId="7B830030" w14:textId="680C2905" w:rsidR="00B142CD" w:rsidRDefault="00B142CD" w:rsidP="00B142CD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Устанавливается</w:t>
      </w:r>
      <w:r w:rsidRPr="008C407C">
        <w:rPr>
          <w:sz w:val="30"/>
          <w:szCs w:val="30"/>
        </w:rPr>
        <w:t xml:space="preserve"> до 1 января 2027 г. срок нахождения моделей игровых автоматов в Государственном реестре, который истекает в 2024-2026 годах,</w:t>
      </w:r>
      <w:r>
        <w:rPr>
          <w:sz w:val="30"/>
          <w:szCs w:val="30"/>
        </w:rPr>
        <w:t xml:space="preserve"> в том числе который продлевался в соответствии с пунктом 1</w:t>
      </w:r>
      <w:r>
        <w:rPr>
          <w:sz w:val="30"/>
          <w:szCs w:val="30"/>
          <w:vertAlign w:val="superscript"/>
        </w:rPr>
        <w:t>1</w:t>
      </w:r>
      <w:r>
        <w:rPr>
          <w:sz w:val="30"/>
          <w:szCs w:val="30"/>
        </w:rPr>
        <w:t xml:space="preserve"> </w:t>
      </w:r>
      <w:r w:rsidRPr="00F943DF">
        <w:rPr>
          <w:sz w:val="30"/>
          <w:szCs w:val="30"/>
        </w:rPr>
        <w:t>постановления № 424</w:t>
      </w:r>
      <w:r>
        <w:rPr>
          <w:sz w:val="30"/>
          <w:szCs w:val="30"/>
        </w:rPr>
        <w:t xml:space="preserve"> по 31.12.2024 (</w:t>
      </w:r>
      <w:r w:rsidR="003A4541">
        <w:rPr>
          <w:sz w:val="30"/>
          <w:szCs w:val="30"/>
        </w:rPr>
        <w:t>абзац второй</w:t>
      </w:r>
      <w:r>
        <w:rPr>
          <w:sz w:val="30"/>
          <w:szCs w:val="30"/>
        </w:rPr>
        <w:t xml:space="preserve"> подпункта 1.3 пункта 1 постановления).</w:t>
      </w:r>
    </w:p>
    <w:p w14:paraId="7888F7E7" w14:textId="0D68CCAF" w:rsidR="003A4541" w:rsidRDefault="00B142CD" w:rsidP="003A4541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этом учитывая длительный срок эксплуатации игровых автоматов, соответствующих таким моделям (10 лет</w:t>
      </w:r>
      <w:r w:rsidR="00D67CA6">
        <w:rPr>
          <w:sz w:val="30"/>
          <w:szCs w:val="30"/>
        </w:rPr>
        <w:t xml:space="preserve"> и более</w:t>
      </w:r>
      <w:r>
        <w:rPr>
          <w:sz w:val="30"/>
          <w:szCs w:val="30"/>
        </w:rPr>
        <w:t>), в целях исключения их некорректной работы постановлением предусмотрена необходимость прохождения данными игровыми автоматами процедуры установления и подтверждения их соответствия моделям, включенным в Государственный реестр</w:t>
      </w:r>
      <w:r w:rsidR="009843C3">
        <w:rPr>
          <w:sz w:val="30"/>
          <w:szCs w:val="30"/>
        </w:rPr>
        <w:t>,</w:t>
      </w:r>
      <w:r w:rsidR="003A4541">
        <w:rPr>
          <w:sz w:val="30"/>
          <w:szCs w:val="30"/>
        </w:rPr>
        <w:t xml:space="preserve"> </w:t>
      </w:r>
      <w:r w:rsidR="003A4541" w:rsidRPr="008C407C">
        <w:rPr>
          <w:sz w:val="30"/>
          <w:szCs w:val="30"/>
        </w:rPr>
        <w:t>для обеспечения возможности дальнейшего их использования</w:t>
      </w:r>
      <w:r w:rsidR="003A4541">
        <w:rPr>
          <w:sz w:val="30"/>
          <w:szCs w:val="30"/>
        </w:rPr>
        <w:t>, а именно</w:t>
      </w:r>
      <w:r w:rsidR="00D67CA6">
        <w:rPr>
          <w:sz w:val="30"/>
          <w:szCs w:val="30"/>
        </w:rPr>
        <w:t>:</w:t>
      </w:r>
    </w:p>
    <w:p w14:paraId="399B49D6" w14:textId="31B72613" w:rsidR="003A4541" w:rsidRPr="005E4245" w:rsidRDefault="003A4541" w:rsidP="003A4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 </w:t>
      </w:r>
      <w:r w:rsidR="00D67CA6">
        <w:rPr>
          <w:rFonts w:ascii="Times New Roman" w:hAnsi="Times New Roman" w:cs="Times New Roman"/>
          <w:sz w:val="30"/>
          <w:szCs w:val="30"/>
        </w:rPr>
        <w:t>е</w:t>
      </w:r>
      <w:r w:rsidRPr="009205B9">
        <w:rPr>
          <w:rFonts w:ascii="Times New Roman" w:hAnsi="Times New Roman" w:cs="Times New Roman"/>
          <w:sz w:val="30"/>
          <w:szCs w:val="30"/>
        </w:rPr>
        <w:t>жегодно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Pr="009205B9">
        <w:rPr>
          <w:rFonts w:ascii="Times New Roman" w:hAnsi="Times New Roman" w:cs="Times New Roman"/>
          <w:sz w:val="30"/>
          <w:szCs w:val="30"/>
        </w:rPr>
        <w:t xml:space="preserve"> для игровых автоматов моделей, срок нахождения которых в Государственном реестре истекает в 2024 – 2025 годах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171F3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 также который продлен в соответствии с частью первой пункта 1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постановления № 424 по 31 декабря 2024 г. (абзац четвертый подпункта 1.3 пункта 1 постановления).</w:t>
      </w:r>
      <w:r w:rsidR="005E4245">
        <w:rPr>
          <w:rFonts w:ascii="Times New Roman" w:hAnsi="Times New Roman" w:cs="Times New Roman"/>
          <w:sz w:val="30"/>
          <w:szCs w:val="30"/>
        </w:rPr>
        <w:t xml:space="preserve"> </w:t>
      </w:r>
      <w:r w:rsidR="005E4245" w:rsidRPr="005E4245">
        <w:rPr>
          <w:rFonts w:ascii="Times New Roman" w:hAnsi="Times New Roman" w:cs="Times New Roman"/>
          <w:sz w:val="30"/>
          <w:szCs w:val="30"/>
        </w:rPr>
        <w:t>Если же субъект хозяйствования не воспользуется своим правом и не получит положительный акт подтверждения соответствия</w:t>
      </w:r>
      <w:r w:rsidR="009843C3">
        <w:rPr>
          <w:rFonts w:ascii="Times New Roman" w:hAnsi="Times New Roman" w:cs="Times New Roman"/>
          <w:sz w:val="30"/>
          <w:szCs w:val="30"/>
        </w:rPr>
        <w:t xml:space="preserve"> </w:t>
      </w:r>
      <w:r w:rsidR="009843C3" w:rsidRPr="00CA688C">
        <w:rPr>
          <w:rFonts w:ascii="Times New Roman" w:hAnsi="Times New Roman" w:cs="Times New Roman"/>
          <w:b/>
          <w:bCs/>
          <w:sz w:val="30"/>
          <w:szCs w:val="30"/>
        </w:rPr>
        <w:t xml:space="preserve">в период с 01.01.2025 по 22.12.2025 и в период с 01.01.2026 по 22.12.2026 </w:t>
      </w:r>
      <w:r w:rsidR="005E4245" w:rsidRPr="00CA688C">
        <w:rPr>
          <w:rFonts w:ascii="Times New Roman" w:hAnsi="Times New Roman" w:cs="Times New Roman"/>
          <w:b/>
          <w:bCs/>
          <w:sz w:val="30"/>
          <w:szCs w:val="30"/>
        </w:rPr>
        <w:t>соответственно</w:t>
      </w:r>
      <w:r w:rsidR="005E4245" w:rsidRPr="005E4245">
        <w:rPr>
          <w:rFonts w:ascii="Times New Roman" w:hAnsi="Times New Roman" w:cs="Times New Roman"/>
          <w:sz w:val="30"/>
          <w:szCs w:val="30"/>
        </w:rPr>
        <w:t>, то так</w:t>
      </w:r>
      <w:r w:rsidR="009843C3">
        <w:rPr>
          <w:rFonts w:ascii="Times New Roman" w:hAnsi="Times New Roman" w:cs="Times New Roman"/>
          <w:sz w:val="30"/>
          <w:szCs w:val="30"/>
        </w:rPr>
        <w:t>ие</w:t>
      </w:r>
      <w:r w:rsidR="005E4245" w:rsidRPr="005E4245">
        <w:rPr>
          <w:rFonts w:ascii="Times New Roman" w:hAnsi="Times New Roman" w:cs="Times New Roman"/>
          <w:sz w:val="30"/>
          <w:szCs w:val="30"/>
        </w:rPr>
        <w:t xml:space="preserve"> игров</w:t>
      </w:r>
      <w:r w:rsidR="009843C3">
        <w:rPr>
          <w:rFonts w:ascii="Times New Roman" w:hAnsi="Times New Roman" w:cs="Times New Roman"/>
          <w:sz w:val="30"/>
          <w:szCs w:val="30"/>
        </w:rPr>
        <w:t>ые</w:t>
      </w:r>
      <w:r w:rsidR="005E4245" w:rsidRPr="005E4245">
        <w:rPr>
          <w:rFonts w:ascii="Times New Roman" w:hAnsi="Times New Roman" w:cs="Times New Roman"/>
          <w:sz w:val="30"/>
          <w:szCs w:val="30"/>
        </w:rPr>
        <w:t xml:space="preserve"> автомат</w:t>
      </w:r>
      <w:r w:rsidR="009843C3">
        <w:rPr>
          <w:rFonts w:ascii="Times New Roman" w:hAnsi="Times New Roman" w:cs="Times New Roman"/>
          <w:sz w:val="30"/>
          <w:szCs w:val="30"/>
        </w:rPr>
        <w:t>ы</w:t>
      </w:r>
      <w:r w:rsidR="005E4245" w:rsidRPr="005E4245">
        <w:rPr>
          <w:rFonts w:ascii="Times New Roman" w:hAnsi="Times New Roman" w:cs="Times New Roman"/>
          <w:sz w:val="30"/>
          <w:szCs w:val="30"/>
        </w:rPr>
        <w:t xml:space="preserve"> буд</w:t>
      </w:r>
      <w:r w:rsidR="009843C3">
        <w:rPr>
          <w:rFonts w:ascii="Times New Roman" w:hAnsi="Times New Roman" w:cs="Times New Roman"/>
          <w:sz w:val="30"/>
          <w:szCs w:val="30"/>
        </w:rPr>
        <w:t>у</w:t>
      </w:r>
      <w:r w:rsidR="005E4245" w:rsidRPr="005E4245">
        <w:rPr>
          <w:rFonts w:ascii="Times New Roman" w:hAnsi="Times New Roman" w:cs="Times New Roman"/>
          <w:sz w:val="30"/>
          <w:szCs w:val="30"/>
        </w:rPr>
        <w:t>т признан</w:t>
      </w:r>
      <w:r w:rsidR="009843C3">
        <w:rPr>
          <w:rFonts w:ascii="Times New Roman" w:hAnsi="Times New Roman" w:cs="Times New Roman"/>
          <w:sz w:val="30"/>
          <w:szCs w:val="30"/>
        </w:rPr>
        <w:t>ы</w:t>
      </w:r>
      <w:r w:rsidR="005E4245" w:rsidRPr="005E4245">
        <w:rPr>
          <w:rFonts w:ascii="Times New Roman" w:hAnsi="Times New Roman" w:cs="Times New Roman"/>
          <w:sz w:val="30"/>
          <w:szCs w:val="30"/>
        </w:rPr>
        <w:t xml:space="preserve"> несоответствующим</w:t>
      </w:r>
      <w:r w:rsidR="009843C3">
        <w:rPr>
          <w:rFonts w:ascii="Times New Roman" w:hAnsi="Times New Roman" w:cs="Times New Roman"/>
          <w:sz w:val="30"/>
          <w:szCs w:val="30"/>
        </w:rPr>
        <w:t>и</w:t>
      </w:r>
      <w:r w:rsidR="005E4245" w:rsidRPr="005E4245">
        <w:rPr>
          <w:rFonts w:ascii="Times New Roman" w:hAnsi="Times New Roman" w:cs="Times New Roman"/>
          <w:sz w:val="30"/>
          <w:szCs w:val="30"/>
        </w:rPr>
        <w:t xml:space="preserve"> </w:t>
      </w:r>
      <w:r w:rsidR="009843C3">
        <w:rPr>
          <w:rFonts w:ascii="Times New Roman" w:hAnsi="Times New Roman" w:cs="Times New Roman"/>
          <w:sz w:val="30"/>
          <w:szCs w:val="30"/>
        </w:rPr>
        <w:t>их</w:t>
      </w:r>
      <w:r w:rsidR="005E4245" w:rsidRPr="005E4245">
        <w:rPr>
          <w:rFonts w:ascii="Times New Roman" w:hAnsi="Times New Roman" w:cs="Times New Roman"/>
          <w:sz w:val="30"/>
          <w:szCs w:val="30"/>
        </w:rPr>
        <w:t xml:space="preserve"> модел</w:t>
      </w:r>
      <w:r w:rsidR="009843C3">
        <w:rPr>
          <w:rFonts w:ascii="Times New Roman" w:hAnsi="Times New Roman" w:cs="Times New Roman"/>
          <w:sz w:val="30"/>
          <w:szCs w:val="30"/>
        </w:rPr>
        <w:t>ям</w:t>
      </w:r>
      <w:r w:rsidR="005E4245" w:rsidRPr="005E4245">
        <w:rPr>
          <w:rFonts w:ascii="Times New Roman" w:hAnsi="Times New Roman" w:cs="Times New Roman"/>
          <w:sz w:val="30"/>
          <w:szCs w:val="30"/>
        </w:rPr>
        <w:t>, включенн</w:t>
      </w:r>
      <w:r w:rsidR="009843C3">
        <w:rPr>
          <w:rFonts w:ascii="Times New Roman" w:hAnsi="Times New Roman" w:cs="Times New Roman"/>
          <w:sz w:val="30"/>
          <w:szCs w:val="30"/>
        </w:rPr>
        <w:t>ым</w:t>
      </w:r>
      <w:r w:rsidR="005E4245" w:rsidRPr="005E4245">
        <w:rPr>
          <w:rFonts w:ascii="Times New Roman" w:hAnsi="Times New Roman" w:cs="Times New Roman"/>
          <w:sz w:val="30"/>
          <w:szCs w:val="30"/>
        </w:rPr>
        <w:t xml:space="preserve"> в Государственный реестр</w:t>
      </w:r>
      <w:r w:rsidRPr="005E4245">
        <w:rPr>
          <w:rFonts w:ascii="Times New Roman" w:hAnsi="Times New Roman" w:cs="Times New Roman"/>
          <w:sz w:val="30"/>
          <w:szCs w:val="30"/>
        </w:rPr>
        <w:t xml:space="preserve"> (абзац шестой подпункта 1.3 пункта 1 постановления).</w:t>
      </w:r>
    </w:p>
    <w:p w14:paraId="156C71EF" w14:textId="4E361E28" w:rsidR="003A4541" w:rsidRPr="005E4245" w:rsidRDefault="003A4541" w:rsidP="003A4541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 </w:t>
      </w:r>
      <w:r w:rsidR="00D67CA6">
        <w:rPr>
          <w:rFonts w:ascii="Times New Roman" w:hAnsi="Times New Roman" w:cs="Times New Roman"/>
          <w:sz w:val="30"/>
          <w:szCs w:val="30"/>
        </w:rPr>
        <w:t>д</w:t>
      </w:r>
      <w:r w:rsidRPr="009205B9">
        <w:rPr>
          <w:rFonts w:ascii="Times New Roman" w:hAnsi="Times New Roman" w:cs="Times New Roman"/>
          <w:sz w:val="30"/>
          <w:szCs w:val="30"/>
        </w:rPr>
        <w:t>о дня истечения первоначального срока нахождения модели игрового автомата в Государственном реестре</w:t>
      </w:r>
      <w:r>
        <w:rPr>
          <w:rFonts w:ascii="Times New Roman" w:hAnsi="Times New Roman" w:cs="Times New Roman"/>
          <w:sz w:val="30"/>
          <w:szCs w:val="30"/>
        </w:rPr>
        <w:t>, –</w:t>
      </w:r>
      <w:r w:rsidRPr="009205B9">
        <w:rPr>
          <w:rFonts w:ascii="Times New Roman" w:hAnsi="Times New Roman" w:cs="Times New Roman"/>
          <w:sz w:val="30"/>
          <w:szCs w:val="30"/>
        </w:rPr>
        <w:t xml:space="preserve"> для игровых автоматов моделей, срок нахождения которых в Государственном реестре истекает в </w:t>
      </w:r>
      <w:r w:rsidRPr="009205B9">
        <w:rPr>
          <w:rFonts w:ascii="Times New Roman" w:hAnsi="Times New Roman" w:cs="Times New Roman"/>
          <w:sz w:val="30"/>
          <w:szCs w:val="30"/>
        </w:rPr>
        <w:lastRenderedPageBreak/>
        <w:t>2026 году</w:t>
      </w:r>
      <w:r>
        <w:rPr>
          <w:rFonts w:ascii="Times New Roman" w:hAnsi="Times New Roman" w:cs="Times New Roman"/>
          <w:sz w:val="30"/>
          <w:szCs w:val="30"/>
        </w:rPr>
        <w:t xml:space="preserve"> (абзац четвертый подпункта 1.3 пункта 1 постановления)</w:t>
      </w:r>
      <w:r w:rsidRPr="009205B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E4245" w:rsidRPr="005E4245">
        <w:rPr>
          <w:rFonts w:ascii="Times New Roman" w:hAnsi="Times New Roman" w:cs="Times New Roman"/>
          <w:sz w:val="30"/>
          <w:szCs w:val="30"/>
        </w:rPr>
        <w:t>Если же субъект хозяйствования не воспользуется своим правом и не получит положительный акт подтверждения соответствия</w:t>
      </w:r>
      <w:r w:rsidR="00CA688C" w:rsidRPr="00CA688C">
        <w:rPr>
          <w:rFonts w:ascii="Times New Roman" w:hAnsi="Times New Roman" w:cs="Times New Roman"/>
          <w:sz w:val="30"/>
          <w:szCs w:val="30"/>
        </w:rPr>
        <w:t xml:space="preserve"> </w:t>
      </w:r>
      <w:r w:rsidR="00CA688C" w:rsidRPr="00CA688C">
        <w:rPr>
          <w:rFonts w:ascii="Times New Roman" w:hAnsi="Times New Roman" w:cs="Times New Roman"/>
          <w:b/>
          <w:bCs/>
          <w:sz w:val="30"/>
          <w:szCs w:val="30"/>
        </w:rPr>
        <w:t>в период с 01.01.2026 и</w:t>
      </w:r>
      <w:r w:rsidR="005E4245" w:rsidRPr="00CA688C">
        <w:rPr>
          <w:rFonts w:ascii="Times New Roman" w:hAnsi="Times New Roman" w:cs="Times New Roman"/>
          <w:b/>
          <w:bCs/>
          <w:sz w:val="30"/>
          <w:szCs w:val="30"/>
        </w:rPr>
        <w:t xml:space="preserve"> до дня истечения первоначального срока нахождения модели игрового автомата в Государственном реестре</w:t>
      </w:r>
      <w:r w:rsidR="005E4245" w:rsidRPr="005E4245">
        <w:rPr>
          <w:rFonts w:ascii="Times New Roman" w:hAnsi="Times New Roman" w:cs="Times New Roman"/>
          <w:sz w:val="30"/>
          <w:szCs w:val="30"/>
        </w:rPr>
        <w:t xml:space="preserve">, то такой игровой автомат будет признан несоответствующим его модели, включенной в Государственный реестр </w:t>
      </w:r>
      <w:r w:rsidRPr="005E4245">
        <w:rPr>
          <w:rFonts w:ascii="Times New Roman" w:hAnsi="Times New Roman" w:cs="Times New Roman"/>
          <w:sz w:val="30"/>
          <w:szCs w:val="30"/>
        </w:rPr>
        <w:t xml:space="preserve">(абзац седьмой подпункта 1.3 пункта 1 постановления). </w:t>
      </w:r>
    </w:p>
    <w:p w14:paraId="556DEC2A" w14:textId="3AE30A6B" w:rsidR="00615498" w:rsidRDefault="003A4541" w:rsidP="00615498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B142CD">
        <w:rPr>
          <w:sz w:val="30"/>
          <w:szCs w:val="30"/>
        </w:rPr>
        <w:t>оответствие (несоответствие)</w:t>
      </w:r>
      <w:r>
        <w:rPr>
          <w:sz w:val="30"/>
          <w:szCs w:val="30"/>
        </w:rPr>
        <w:t xml:space="preserve"> игровых автоматов их модел</w:t>
      </w:r>
      <w:r w:rsidR="00615498">
        <w:rPr>
          <w:sz w:val="30"/>
          <w:szCs w:val="30"/>
        </w:rPr>
        <w:t>я</w:t>
      </w:r>
      <w:r>
        <w:rPr>
          <w:sz w:val="30"/>
          <w:szCs w:val="30"/>
        </w:rPr>
        <w:t>м, включенным в Государственный реестр</w:t>
      </w:r>
      <w:r w:rsidR="00A918E7">
        <w:rPr>
          <w:sz w:val="30"/>
          <w:szCs w:val="30"/>
        </w:rPr>
        <w:t>,</w:t>
      </w:r>
      <w:r>
        <w:rPr>
          <w:sz w:val="30"/>
          <w:szCs w:val="30"/>
        </w:rPr>
        <w:t xml:space="preserve"> будет</w:t>
      </w:r>
      <w:r w:rsidR="00B142CD">
        <w:rPr>
          <w:sz w:val="30"/>
          <w:szCs w:val="30"/>
        </w:rPr>
        <w:t xml:space="preserve"> устанавливат</w:t>
      </w:r>
      <w:r w:rsidR="00615498">
        <w:rPr>
          <w:sz w:val="30"/>
          <w:szCs w:val="30"/>
        </w:rPr>
        <w:t>ь</w:t>
      </w:r>
      <w:r w:rsidR="00B142CD">
        <w:rPr>
          <w:sz w:val="30"/>
          <w:szCs w:val="30"/>
        </w:rPr>
        <w:t xml:space="preserve">ся в порядке, определённом Инструкцией о порядке установления и подтверждения соответствия игрового автомата модели, включенной в Государственный реестр моделей игровых автоматов, допущенных к использованию в Республике Беларусь, утвержденной постановлением Государственного комитета по стандартизации от 07.03.2019 № 14 (далее – Инструкция № 14). </w:t>
      </w:r>
    </w:p>
    <w:p w14:paraId="3EB9EE30" w14:textId="22EC11A7" w:rsidR="00B142CD" w:rsidRDefault="00B142CD" w:rsidP="00615498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Согласно пунктам 2, 3, 6 и 8 Инструкции № 14 под подтверждением соответствия понимается процедура установления соответствия функциональных и конструктивных характеристик конкретного игрового автомата и его программного обеспечения модели данного игрового автомата, включенной в Государственный реестр. Подтверждение соответствия осуществляется на договорной основе научно-производственным республиканским унитарным предприятием «Белорусский государственный институт стандартизации и сертификации» (далее - </w:t>
      </w:r>
      <w:proofErr w:type="spellStart"/>
      <w:r>
        <w:rPr>
          <w:color w:val="auto"/>
          <w:sz w:val="30"/>
          <w:szCs w:val="30"/>
        </w:rPr>
        <w:t>БелГИСС</w:t>
      </w:r>
      <w:proofErr w:type="spellEnd"/>
      <w:r>
        <w:rPr>
          <w:color w:val="auto"/>
          <w:sz w:val="30"/>
          <w:szCs w:val="30"/>
        </w:rPr>
        <w:t xml:space="preserve">) и включает: </w:t>
      </w:r>
    </w:p>
    <w:p w14:paraId="7DF38C97" w14:textId="77777777" w:rsidR="00B142CD" w:rsidRDefault="00B142CD" w:rsidP="003A4541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идентификацию игрового автомата, входящих в него блоков, узлов, носителей программного обеспечения; </w:t>
      </w:r>
    </w:p>
    <w:p w14:paraId="036575F2" w14:textId="77777777" w:rsidR="00B142CD" w:rsidRDefault="00B142CD" w:rsidP="003A4541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проверку соответствия функциональных и конструктивных характеристик игрового автомата модели данного игрового автомата, включенной в Государственный реестр, в том числе внешний вид игрового автомата, установленный фактически заложенный средний процент денежного выигрыша, отсутствие в конструкции игрового автомата неописанных узлов (блоков); </w:t>
      </w:r>
    </w:p>
    <w:p w14:paraId="666A6668" w14:textId="77777777" w:rsidR="00B142CD" w:rsidRDefault="00B142CD" w:rsidP="003A4541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проверку соответствия программного обеспечения игрового автомата модели данного игрового автомата, включенной в Государственный реестр; </w:t>
      </w:r>
    </w:p>
    <w:p w14:paraId="1AE7850A" w14:textId="77777777" w:rsidR="00B142CD" w:rsidRDefault="00B142CD" w:rsidP="003A4541">
      <w:pPr>
        <w:pStyle w:val="Default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проверку целостности и подлинности установленных защитных голографических наклеек </w:t>
      </w:r>
      <w:proofErr w:type="spellStart"/>
      <w:r>
        <w:rPr>
          <w:color w:val="auto"/>
          <w:sz w:val="30"/>
          <w:szCs w:val="30"/>
        </w:rPr>
        <w:t>БелГИСС</w:t>
      </w:r>
      <w:proofErr w:type="spellEnd"/>
      <w:r>
        <w:rPr>
          <w:color w:val="auto"/>
          <w:sz w:val="30"/>
          <w:szCs w:val="30"/>
        </w:rPr>
        <w:t xml:space="preserve"> (при их наличии). </w:t>
      </w:r>
    </w:p>
    <w:p w14:paraId="3EE7A1A1" w14:textId="77777777" w:rsidR="00B142CD" w:rsidRDefault="00B142CD" w:rsidP="003A4541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По результатам выполнения работ по подтверждению соответствия </w:t>
      </w:r>
      <w:proofErr w:type="spellStart"/>
      <w:r>
        <w:rPr>
          <w:color w:val="auto"/>
          <w:sz w:val="30"/>
          <w:szCs w:val="30"/>
        </w:rPr>
        <w:t>БелГИСС</w:t>
      </w:r>
      <w:proofErr w:type="spellEnd"/>
      <w:r>
        <w:rPr>
          <w:color w:val="auto"/>
          <w:sz w:val="30"/>
          <w:szCs w:val="30"/>
        </w:rPr>
        <w:t xml:space="preserve"> оформляет акт установления и подтверждения соответствия игрового автомата модели, включенной в Государственный реестр по форме согласно приложению к Инструкции № 14 (далее - акт подтверждения соответствия) в двух экземплярах, один из которых выдается заявителю. </w:t>
      </w:r>
    </w:p>
    <w:p w14:paraId="573084E3" w14:textId="77777777" w:rsidR="00B142CD" w:rsidRDefault="00B142CD" w:rsidP="003A4541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lastRenderedPageBreak/>
        <w:t xml:space="preserve">При отрицательных результатах подтверждения соответствия в акте подтверждения соответствия указываются причины несоответствия игрового автомата модели, включенной в Государственный реестр. </w:t>
      </w:r>
    </w:p>
    <w:p w14:paraId="73268BCD" w14:textId="4B43B744" w:rsidR="00B142CD" w:rsidRDefault="00B142CD" w:rsidP="005E4245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В соответствии с пунктом 9 Положения об осуществлении деятельности в сфере игорного бизнеса, утвержденного Указом Президента Республики Беларусь от 10.01.2005 № 9 (далее – Положение № 9), несоответствие игрового автомата модели, включенной в Государственный реестр, является основанием для не постановки такого игрового автомата на учет в специальной компьютерной кассовой системе, обеспечивающей  контроль за оборотами в сфере игорного бизнеса (далее – СККС), или его снятия с учета в СККС ООО «Мониторинговый центр по игорному бизнесу» (далее – мониторинговый центр) в сроки, установленные Советом Министров Республики Беларусь. </w:t>
      </w:r>
    </w:p>
    <w:p w14:paraId="76F6336D" w14:textId="0FD91224" w:rsidR="00FE179C" w:rsidRPr="00FE179C" w:rsidRDefault="00B142CD" w:rsidP="00FE179C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Таким образом, игровые автоматы, которые не пройдут данную процедуру в установленный срок и не получат положительный акт подтверждения соответствия по ее результатам,</w:t>
      </w:r>
      <w:r w:rsidR="00FE179C" w:rsidRPr="00FE179C">
        <w:rPr>
          <w:sz w:val="30"/>
          <w:szCs w:val="30"/>
        </w:rPr>
        <w:t xml:space="preserve"> </w:t>
      </w:r>
      <w:r w:rsidR="00FE179C">
        <w:rPr>
          <w:color w:val="auto"/>
          <w:sz w:val="30"/>
          <w:szCs w:val="30"/>
        </w:rPr>
        <w:t>ставиться на учет в СККС, как объект налогообложения налогом на игорный бизнес, не будут, а состоящие на таком учете игровые автоматы будут с него сняты</w:t>
      </w:r>
      <w:r w:rsidR="00FE179C" w:rsidRPr="00FE179C">
        <w:rPr>
          <w:color w:val="auto"/>
          <w:sz w:val="30"/>
          <w:szCs w:val="30"/>
        </w:rPr>
        <w:t>:</w:t>
      </w:r>
    </w:p>
    <w:p w14:paraId="5D5C6039" w14:textId="1DFC0BE6" w:rsidR="00FE179C" w:rsidRPr="00A918E7" w:rsidRDefault="00A918E7" w:rsidP="004B62D1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sz w:val="30"/>
          <w:szCs w:val="30"/>
        </w:rPr>
        <w:t xml:space="preserve">с </w:t>
      </w:r>
      <w:r w:rsidR="00FE179C" w:rsidRPr="005E4245">
        <w:rPr>
          <w:sz w:val="30"/>
          <w:szCs w:val="30"/>
        </w:rPr>
        <w:t>2</w:t>
      </w:r>
      <w:r w:rsidR="00FE179C">
        <w:rPr>
          <w:sz w:val="30"/>
          <w:szCs w:val="30"/>
        </w:rPr>
        <w:t xml:space="preserve">3 </w:t>
      </w:r>
      <w:r w:rsidR="00FE179C" w:rsidRPr="005E4245">
        <w:rPr>
          <w:sz w:val="30"/>
          <w:szCs w:val="30"/>
        </w:rPr>
        <w:t>декабря 2025 г. и</w:t>
      </w:r>
      <w:r>
        <w:rPr>
          <w:sz w:val="30"/>
          <w:szCs w:val="30"/>
        </w:rPr>
        <w:t xml:space="preserve"> с</w:t>
      </w:r>
      <w:r w:rsidR="00FE179C" w:rsidRPr="005E4245">
        <w:rPr>
          <w:sz w:val="30"/>
          <w:szCs w:val="30"/>
        </w:rPr>
        <w:t xml:space="preserve"> 2</w:t>
      </w:r>
      <w:r w:rsidR="00FE179C">
        <w:rPr>
          <w:sz w:val="30"/>
          <w:szCs w:val="30"/>
        </w:rPr>
        <w:t>3</w:t>
      </w:r>
      <w:r w:rsidR="00FE179C" w:rsidRPr="005E4245">
        <w:rPr>
          <w:sz w:val="30"/>
          <w:szCs w:val="30"/>
        </w:rPr>
        <w:t xml:space="preserve"> декабря 2026 г.</w:t>
      </w:r>
      <w:r>
        <w:rPr>
          <w:sz w:val="30"/>
          <w:szCs w:val="30"/>
        </w:rPr>
        <w:t xml:space="preserve"> соответственно</w:t>
      </w:r>
      <w:r w:rsidR="00FE179C">
        <w:rPr>
          <w:sz w:val="30"/>
          <w:szCs w:val="30"/>
        </w:rPr>
        <w:t xml:space="preserve"> –</w:t>
      </w:r>
      <w:r w:rsidR="007168FF">
        <w:rPr>
          <w:sz w:val="30"/>
          <w:szCs w:val="30"/>
        </w:rPr>
        <w:t xml:space="preserve"> касательно</w:t>
      </w:r>
      <w:r w:rsidR="00FE179C" w:rsidRPr="009205B9">
        <w:rPr>
          <w:sz w:val="30"/>
          <w:szCs w:val="30"/>
        </w:rPr>
        <w:t xml:space="preserve"> игровых автоматов моделей, срок нахождения которых в Государственном реестре истекает в 2024 – 2025 годах</w:t>
      </w:r>
      <w:r w:rsidR="00FE179C">
        <w:rPr>
          <w:sz w:val="30"/>
          <w:szCs w:val="30"/>
        </w:rPr>
        <w:t>,</w:t>
      </w:r>
      <w:r w:rsidR="00FE179C" w:rsidRPr="00171F3C">
        <w:rPr>
          <w:sz w:val="30"/>
          <w:szCs w:val="30"/>
        </w:rPr>
        <w:t xml:space="preserve"> </w:t>
      </w:r>
      <w:r w:rsidR="00FE179C">
        <w:rPr>
          <w:sz w:val="30"/>
          <w:szCs w:val="30"/>
        </w:rPr>
        <w:t>а также который продлен в соответствии с частью первой пункта 1</w:t>
      </w:r>
      <w:r w:rsidR="00FE179C">
        <w:rPr>
          <w:sz w:val="30"/>
          <w:szCs w:val="30"/>
          <w:vertAlign w:val="superscript"/>
        </w:rPr>
        <w:t>1</w:t>
      </w:r>
      <w:r w:rsidR="00FE179C">
        <w:rPr>
          <w:sz w:val="30"/>
          <w:szCs w:val="30"/>
        </w:rPr>
        <w:t xml:space="preserve"> постановления № 424 по 31 декабря 2024 г.</w:t>
      </w:r>
      <w:r w:rsidRPr="00A918E7">
        <w:rPr>
          <w:sz w:val="30"/>
          <w:szCs w:val="30"/>
        </w:rPr>
        <w:t>;</w:t>
      </w:r>
    </w:p>
    <w:p w14:paraId="28CE3F9E" w14:textId="66501340" w:rsidR="00B142CD" w:rsidRDefault="00B142CD" w:rsidP="004B62D1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E179C">
        <w:rPr>
          <w:color w:val="auto"/>
          <w:sz w:val="30"/>
          <w:szCs w:val="30"/>
        </w:rPr>
        <w:t>со дня, следующего за днем истечения первоначального срока нахождения модели игрового автомата в Государственном реестре</w:t>
      </w:r>
      <w:r w:rsidR="00FE179C">
        <w:rPr>
          <w:b/>
          <w:bCs/>
          <w:color w:val="auto"/>
          <w:sz w:val="30"/>
          <w:szCs w:val="30"/>
        </w:rPr>
        <w:t xml:space="preserve"> –</w:t>
      </w:r>
      <w:r w:rsidR="007168FF" w:rsidRPr="007168FF">
        <w:rPr>
          <w:sz w:val="30"/>
          <w:szCs w:val="30"/>
        </w:rPr>
        <w:t xml:space="preserve"> </w:t>
      </w:r>
      <w:r w:rsidR="007168FF">
        <w:rPr>
          <w:sz w:val="30"/>
          <w:szCs w:val="30"/>
        </w:rPr>
        <w:t>касательно</w:t>
      </w:r>
      <w:r w:rsidR="007168FF" w:rsidRPr="009205B9">
        <w:rPr>
          <w:sz w:val="30"/>
          <w:szCs w:val="30"/>
        </w:rPr>
        <w:t xml:space="preserve"> </w:t>
      </w:r>
      <w:r w:rsidR="00FE179C" w:rsidRPr="009205B9">
        <w:rPr>
          <w:sz w:val="30"/>
          <w:szCs w:val="30"/>
        </w:rPr>
        <w:t>игровых автоматов моделей, срок нахождения которых в Государственном реестре истекает в 2026 году</w:t>
      </w:r>
      <w:r w:rsidR="00FE179C">
        <w:rPr>
          <w:sz w:val="30"/>
          <w:szCs w:val="30"/>
        </w:rPr>
        <w:t>.</w:t>
      </w:r>
    </w:p>
    <w:p w14:paraId="0B6B6BE4" w14:textId="77777777" w:rsidR="00B142CD" w:rsidRDefault="00B142CD" w:rsidP="004B62D1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Учитывая запрет, установленный в абзаце четвертом подпункта 10.2 пункта 10 Положения № 9, игровые автоматы, не состоящие на учете в СККС, не смогут использоваться для организации и проведения азартных игр. </w:t>
      </w:r>
    </w:p>
    <w:p w14:paraId="3316B4FD" w14:textId="3CEEDEFD" w:rsidR="00B142CD" w:rsidRDefault="00B142CD" w:rsidP="004B62D1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Принимая во внимание изложенное, в целях исключения фактов снятия с учета в СККС игровых автоматов</w:t>
      </w:r>
      <w:r w:rsidR="00BC1144">
        <w:rPr>
          <w:color w:val="auto"/>
          <w:sz w:val="30"/>
          <w:szCs w:val="30"/>
        </w:rPr>
        <w:t xml:space="preserve">,  </w:t>
      </w:r>
      <w:r>
        <w:rPr>
          <w:color w:val="auto"/>
          <w:sz w:val="30"/>
          <w:szCs w:val="30"/>
        </w:rPr>
        <w:t xml:space="preserve">организаторам азартных игр необходимо </w:t>
      </w:r>
      <w:r w:rsidRPr="00A918E7">
        <w:rPr>
          <w:color w:val="auto"/>
          <w:sz w:val="30"/>
          <w:szCs w:val="30"/>
        </w:rPr>
        <w:t xml:space="preserve">до дня истечения </w:t>
      </w:r>
      <w:r w:rsidR="00FE179C" w:rsidRPr="00A918E7">
        <w:rPr>
          <w:color w:val="auto"/>
          <w:sz w:val="30"/>
          <w:szCs w:val="30"/>
        </w:rPr>
        <w:t>вышеуказанных сроков</w:t>
      </w:r>
      <w:r w:rsidR="008D3784">
        <w:rPr>
          <w:b/>
          <w:bCs/>
          <w:color w:val="auto"/>
          <w:sz w:val="30"/>
          <w:szCs w:val="30"/>
        </w:rPr>
        <w:t xml:space="preserve"> </w:t>
      </w:r>
      <w:r>
        <w:rPr>
          <w:color w:val="auto"/>
          <w:sz w:val="30"/>
          <w:szCs w:val="30"/>
        </w:rPr>
        <w:t>предостав</w:t>
      </w:r>
      <w:r w:rsidR="00A918E7">
        <w:rPr>
          <w:color w:val="auto"/>
          <w:sz w:val="30"/>
          <w:szCs w:val="30"/>
        </w:rPr>
        <w:t xml:space="preserve">лять </w:t>
      </w:r>
      <w:r>
        <w:rPr>
          <w:color w:val="auto"/>
          <w:sz w:val="30"/>
          <w:szCs w:val="30"/>
        </w:rPr>
        <w:t xml:space="preserve">в мониторинговый центр копию положительного акта подтверждения соответствия, выданного </w:t>
      </w:r>
      <w:proofErr w:type="spellStart"/>
      <w:r>
        <w:rPr>
          <w:color w:val="auto"/>
          <w:sz w:val="30"/>
          <w:szCs w:val="30"/>
        </w:rPr>
        <w:t>БелГИСС</w:t>
      </w:r>
      <w:proofErr w:type="spellEnd"/>
      <w:r>
        <w:rPr>
          <w:color w:val="auto"/>
          <w:sz w:val="30"/>
          <w:szCs w:val="30"/>
        </w:rPr>
        <w:t xml:space="preserve">. </w:t>
      </w:r>
    </w:p>
    <w:p w14:paraId="092A195E" w14:textId="540CFF08" w:rsidR="00B142CD" w:rsidRDefault="00B142CD" w:rsidP="004B62D1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В целях упорядочения прохождения игровыми автоматами процедуры установления и подтверждения их соответствия моделям, включенным в Государственный реестр</w:t>
      </w:r>
      <w:r w:rsidR="00A918E7">
        <w:rPr>
          <w:color w:val="auto"/>
          <w:sz w:val="30"/>
          <w:szCs w:val="30"/>
        </w:rPr>
        <w:t>,</w:t>
      </w:r>
      <w:r>
        <w:rPr>
          <w:color w:val="auto"/>
          <w:sz w:val="30"/>
          <w:szCs w:val="30"/>
        </w:rPr>
        <w:t xml:space="preserve"> Госстандартом</w:t>
      </w:r>
      <w:r w:rsidR="00A918E7">
        <w:rPr>
          <w:color w:val="auto"/>
          <w:sz w:val="30"/>
          <w:szCs w:val="30"/>
        </w:rPr>
        <w:t xml:space="preserve"> </w:t>
      </w:r>
      <w:r w:rsidR="004B62D1">
        <w:rPr>
          <w:color w:val="auto"/>
          <w:sz w:val="30"/>
          <w:szCs w:val="30"/>
        </w:rPr>
        <w:t>будет</w:t>
      </w:r>
      <w:r>
        <w:rPr>
          <w:color w:val="auto"/>
          <w:sz w:val="30"/>
          <w:szCs w:val="30"/>
        </w:rPr>
        <w:t xml:space="preserve"> подготовлен график проведения </w:t>
      </w:r>
      <w:proofErr w:type="spellStart"/>
      <w:r>
        <w:rPr>
          <w:color w:val="auto"/>
          <w:sz w:val="30"/>
          <w:szCs w:val="30"/>
        </w:rPr>
        <w:t>БелГИСС</w:t>
      </w:r>
      <w:proofErr w:type="spellEnd"/>
      <w:r>
        <w:rPr>
          <w:color w:val="auto"/>
          <w:sz w:val="30"/>
          <w:szCs w:val="30"/>
        </w:rPr>
        <w:t xml:space="preserve"> установления и подтверждения соответствия игровых автоматов моделям, включенным в Государственной реестр. Данный график будет доступен на сайте </w:t>
      </w:r>
      <w:proofErr w:type="spellStart"/>
      <w:r>
        <w:rPr>
          <w:color w:val="auto"/>
          <w:sz w:val="30"/>
          <w:szCs w:val="30"/>
        </w:rPr>
        <w:t>БелГИСС</w:t>
      </w:r>
      <w:proofErr w:type="spellEnd"/>
      <w:r>
        <w:rPr>
          <w:color w:val="auto"/>
          <w:sz w:val="30"/>
          <w:szCs w:val="30"/>
        </w:rPr>
        <w:t xml:space="preserve"> belgiss.by. </w:t>
      </w:r>
    </w:p>
    <w:p w14:paraId="6DBE80CA" w14:textId="5024CF37" w:rsidR="00FE179C" w:rsidRPr="0085588E" w:rsidRDefault="00FE179C" w:rsidP="00FE1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73B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 xml:space="preserve">Постановление опубликовано на </w:t>
      </w:r>
      <w:r w:rsidRPr="006F73B2">
        <w:rPr>
          <w:rFonts w:ascii="Times New Roman" w:eastAsia="Times New Roman" w:hAnsi="Times New Roman" w:cs="Times New Roman"/>
          <w:sz w:val="30"/>
          <w:szCs w:val="30"/>
          <w:lang w:eastAsia="ru-RU"/>
        </w:rPr>
        <w:t>Национальном правовом Интернет-</w:t>
      </w:r>
      <w:r w:rsidRPr="0085588E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портале Республики Беларусь</w:t>
      </w:r>
      <w:r w:rsidR="0085588E" w:rsidRPr="008558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26.</w:t>
      </w:r>
      <w:r w:rsidRPr="0085588E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85588E" w:rsidRPr="0085588E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85588E">
        <w:rPr>
          <w:rFonts w:ascii="Times New Roman" w:eastAsia="Times New Roman" w:hAnsi="Times New Roman" w:cs="Times New Roman"/>
          <w:sz w:val="30"/>
          <w:szCs w:val="30"/>
          <w:lang w:eastAsia="ru-RU"/>
        </w:rPr>
        <w:t>.2024.</w:t>
      </w:r>
    </w:p>
    <w:p w14:paraId="50FF663E" w14:textId="7B198885" w:rsidR="00FE179C" w:rsidRPr="0085588E" w:rsidRDefault="00FE179C" w:rsidP="00FE1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588E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пункту 3 постановления оно вступает в силу после его официального опубликования т.е. с</w:t>
      </w:r>
      <w:r w:rsidR="0085588E" w:rsidRPr="008558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27.</w:t>
      </w:r>
      <w:r w:rsidRPr="0085588E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85588E" w:rsidRPr="0085588E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85588E">
        <w:rPr>
          <w:rFonts w:ascii="Times New Roman" w:eastAsia="Times New Roman" w:hAnsi="Times New Roman" w:cs="Times New Roman"/>
          <w:sz w:val="30"/>
          <w:szCs w:val="30"/>
          <w:lang w:eastAsia="ru-RU"/>
        </w:rPr>
        <w:t>.2024.</w:t>
      </w:r>
    </w:p>
    <w:p w14:paraId="204C27AF" w14:textId="23136663" w:rsidR="00B142CD" w:rsidRDefault="00B142CD" w:rsidP="005E4245">
      <w:pPr>
        <w:pStyle w:val="a6"/>
        <w:spacing w:line="230" w:lineRule="auto"/>
        <w:ind w:firstLine="709"/>
        <w:rPr>
          <w:sz w:val="30"/>
          <w:szCs w:val="30"/>
        </w:rPr>
      </w:pPr>
      <w:r w:rsidRPr="0085588E">
        <w:rPr>
          <w:sz w:val="30"/>
          <w:szCs w:val="30"/>
        </w:rPr>
        <w:t>Кроме того, учитывая, что абзацем вторым подпункта 1.</w:t>
      </w:r>
      <w:r w:rsidR="004B62D1" w:rsidRPr="0085588E">
        <w:rPr>
          <w:sz w:val="30"/>
          <w:szCs w:val="30"/>
        </w:rPr>
        <w:t>3</w:t>
      </w:r>
      <w:r>
        <w:rPr>
          <w:sz w:val="30"/>
          <w:szCs w:val="30"/>
        </w:rPr>
        <w:t xml:space="preserve"> пункта 1 постановления срок нахождения моделей игровых автоматов в Государственном реестре продлевается </w:t>
      </w:r>
      <w:r w:rsidR="004B62D1">
        <w:rPr>
          <w:sz w:val="30"/>
          <w:szCs w:val="30"/>
        </w:rPr>
        <w:t>до 1 января 2027 г.</w:t>
      </w:r>
      <w:r>
        <w:rPr>
          <w:sz w:val="30"/>
          <w:szCs w:val="30"/>
        </w:rPr>
        <w:t>, все нормы постановления также носят временный характер и будут применяться в республике только до 1 января 202</w:t>
      </w:r>
      <w:r w:rsidR="004B62D1">
        <w:rPr>
          <w:sz w:val="30"/>
          <w:szCs w:val="30"/>
        </w:rPr>
        <w:t>7</w:t>
      </w:r>
      <w:r>
        <w:rPr>
          <w:sz w:val="30"/>
          <w:szCs w:val="30"/>
        </w:rPr>
        <w:t xml:space="preserve"> г.</w:t>
      </w:r>
    </w:p>
    <w:sectPr w:rsidR="00B142CD" w:rsidSect="00253EE6">
      <w:headerReference w:type="default" r:id="rId9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C211C" w14:textId="77777777" w:rsidR="00FA7D60" w:rsidRDefault="00FA7D60" w:rsidP="0065778A">
      <w:pPr>
        <w:spacing w:after="0" w:line="240" w:lineRule="auto"/>
      </w:pPr>
      <w:r>
        <w:separator/>
      </w:r>
    </w:p>
  </w:endnote>
  <w:endnote w:type="continuationSeparator" w:id="0">
    <w:p w14:paraId="6E0A273F" w14:textId="77777777" w:rsidR="00FA7D60" w:rsidRDefault="00FA7D60" w:rsidP="0065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7B7C8" w14:textId="77777777" w:rsidR="00FA7D60" w:rsidRDefault="00FA7D60" w:rsidP="0065778A">
      <w:pPr>
        <w:spacing w:after="0" w:line="240" w:lineRule="auto"/>
      </w:pPr>
      <w:r>
        <w:separator/>
      </w:r>
    </w:p>
  </w:footnote>
  <w:footnote w:type="continuationSeparator" w:id="0">
    <w:p w14:paraId="2B5109A5" w14:textId="77777777" w:rsidR="00FA7D60" w:rsidRDefault="00FA7D60" w:rsidP="00657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347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57E451E" w14:textId="179B928A" w:rsidR="00607CC6" w:rsidRPr="00DC0037" w:rsidRDefault="009D7973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C00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07CC6" w:rsidRPr="00DC003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C00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5607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C00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82E80F8" w14:textId="77777777" w:rsidR="00607CC6" w:rsidRDefault="00607CC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4E9D"/>
    <w:multiLevelType w:val="hybridMultilevel"/>
    <w:tmpl w:val="3CF04A3C"/>
    <w:lvl w:ilvl="0" w:tplc="40D801E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45D754A"/>
    <w:multiLevelType w:val="hybridMultilevel"/>
    <w:tmpl w:val="4B4AE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46B9B"/>
    <w:multiLevelType w:val="hybridMultilevel"/>
    <w:tmpl w:val="C442D31C"/>
    <w:lvl w:ilvl="0" w:tplc="40D801E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F1C4F64"/>
    <w:multiLevelType w:val="hybridMultilevel"/>
    <w:tmpl w:val="47DE7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336842">
    <w:abstractNumId w:val="3"/>
  </w:num>
  <w:num w:numId="2" w16cid:durableId="493448720">
    <w:abstractNumId w:val="2"/>
  </w:num>
  <w:num w:numId="3" w16cid:durableId="870260056">
    <w:abstractNumId w:val="0"/>
  </w:num>
  <w:num w:numId="4" w16cid:durableId="669017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00"/>
    <w:rsid w:val="0000038F"/>
    <w:rsid w:val="00002080"/>
    <w:rsid w:val="00007585"/>
    <w:rsid w:val="0001673A"/>
    <w:rsid w:val="00017CA4"/>
    <w:rsid w:val="00022899"/>
    <w:rsid w:val="00022FD3"/>
    <w:rsid w:val="0002743C"/>
    <w:rsid w:val="00030095"/>
    <w:rsid w:val="00031516"/>
    <w:rsid w:val="0003418E"/>
    <w:rsid w:val="000341DA"/>
    <w:rsid w:val="00034F03"/>
    <w:rsid w:val="00035C97"/>
    <w:rsid w:val="00036FDF"/>
    <w:rsid w:val="00041B0F"/>
    <w:rsid w:val="00042F91"/>
    <w:rsid w:val="00046503"/>
    <w:rsid w:val="000478E8"/>
    <w:rsid w:val="00054BB1"/>
    <w:rsid w:val="00056FD2"/>
    <w:rsid w:val="000574C6"/>
    <w:rsid w:val="00057D34"/>
    <w:rsid w:val="00061388"/>
    <w:rsid w:val="00061FB6"/>
    <w:rsid w:val="0006283F"/>
    <w:rsid w:val="0006312A"/>
    <w:rsid w:val="000638CA"/>
    <w:rsid w:val="00065804"/>
    <w:rsid w:val="000768E1"/>
    <w:rsid w:val="000860FB"/>
    <w:rsid w:val="000921D1"/>
    <w:rsid w:val="000923F1"/>
    <w:rsid w:val="00092E32"/>
    <w:rsid w:val="00092FDF"/>
    <w:rsid w:val="000964A8"/>
    <w:rsid w:val="000964F8"/>
    <w:rsid w:val="00097B06"/>
    <w:rsid w:val="000A164C"/>
    <w:rsid w:val="000A1E40"/>
    <w:rsid w:val="000A3CE5"/>
    <w:rsid w:val="000B1584"/>
    <w:rsid w:val="000B359B"/>
    <w:rsid w:val="000B40F2"/>
    <w:rsid w:val="000B73EB"/>
    <w:rsid w:val="000B7A2C"/>
    <w:rsid w:val="000B7F38"/>
    <w:rsid w:val="000C26AA"/>
    <w:rsid w:val="000C2EB9"/>
    <w:rsid w:val="000D656F"/>
    <w:rsid w:val="000E0D5F"/>
    <w:rsid w:val="000E3745"/>
    <w:rsid w:val="000F3A02"/>
    <w:rsid w:val="000F713E"/>
    <w:rsid w:val="001019C1"/>
    <w:rsid w:val="001031AD"/>
    <w:rsid w:val="001053A6"/>
    <w:rsid w:val="00105743"/>
    <w:rsid w:val="00113197"/>
    <w:rsid w:val="00113E0E"/>
    <w:rsid w:val="00117403"/>
    <w:rsid w:val="001215F6"/>
    <w:rsid w:val="00125667"/>
    <w:rsid w:val="00127A19"/>
    <w:rsid w:val="001341BB"/>
    <w:rsid w:val="00135879"/>
    <w:rsid w:val="0013723C"/>
    <w:rsid w:val="00140FEC"/>
    <w:rsid w:val="00141314"/>
    <w:rsid w:val="001414F0"/>
    <w:rsid w:val="00141A68"/>
    <w:rsid w:val="001453E9"/>
    <w:rsid w:val="00150812"/>
    <w:rsid w:val="001508E1"/>
    <w:rsid w:val="00150B72"/>
    <w:rsid w:val="00156E60"/>
    <w:rsid w:val="00157B94"/>
    <w:rsid w:val="00161640"/>
    <w:rsid w:val="00164786"/>
    <w:rsid w:val="001652E0"/>
    <w:rsid w:val="00171486"/>
    <w:rsid w:val="00172995"/>
    <w:rsid w:val="00180C3C"/>
    <w:rsid w:val="00181533"/>
    <w:rsid w:val="0018199C"/>
    <w:rsid w:val="001868A2"/>
    <w:rsid w:val="0019052F"/>
    <w:rsid w:val="00192547"/>
    <w:rsid w:val="00194BA7"/>
    <w:rsid w:val="00194C0D"/>
    <w:rsid w:val="001A0017"/>
    <w:rsid w:val="001A73B6"/>
    <w:rsid w:val="001B3985"/>
    <w:rsid w:val="001B5A41"/>
    <w:rsid w:val="001B6677"/>
    <w:rsid w:val="001B6A25"/>
    <w:rsid w:val="001B6D61"/>
    <w:rsid w:val="001B6F3F"/>
    <w:rsid w:val="001C1F6D"/>
    <w:rsid w:val="001C2A16"/>
    <w:rsid w:val="001C674A"/>
    <w:rsid w:val="001D3978"/>
    <w:rsid w:val="001D43A0"/>
    <w:rsid w:val="001D4CA2"/>
    <w:rsid w:val="001D567C"/>
    <w:rsid w:val="001D5BAA"/>
    <w:rsid w:val="001D7248"/>
    <w:rsid w:val="001E0BE8"/>
    <w:rsid w:val="001E5B6A"/>
    <w:rsid w:val="001F0AE7"/>
    <w:rsid w:val="001F2712"/>
    <w:rsid w:val="001F4215"/>
    <w:rsid w:val="001F6400"/>
    <w:rsid w:val="00200274"/>
    <w:rsid w:val="00202A55"/>
    <w:rsid w:val="00207C6C"/>
    <w:rsid w:val="002104F9"/>
    <w:rsid w:val="00210DE9"/>
    <w:rsid w:val="00213A3A"/>
    <w:rsid w:val="00220057"/>
    <w:rsid w:val="00223D62"/>
    <w:rsid w:val="0022710C"/>
    <w:rsid w:val="00231BC4"/>
    <w:rsid w:val="002361B8"/>
    <w:rsid w:val="00237469"/>
    <w:rsid w:val="00237522"/>
    <w:rsid w:val="0023796D"/>
    <w:rsid w:val="002406CF"/>
    <w:rsid w:val="00241BAC"/>
    <w:rsid w:val="00241D55"/>
    <w:rsid w:val="00253702"/>
    <w:rsid w:val="00253EE6"/>
    <w:rsid w:val="00254C74"/>
    <w:rsid w:val="0025522A"/>
    <w:rsid w:val="0026077B"/>
    <w:rsid w:val="0026157B"/>
    <w:rsid w:val="002714C9"/>
    <w:rsid w:val="00276C48"/>
    <w:rsid w:val="00277273"/>
    <w:rsid w:val="00280FE1"/>
    <w:rsid w:val="00285526"/>
    <w:rsid w:val="00285CFF"/>
    <w:rsid w:val="002908D8"/>
    <w:rsid w:val="0029141B"/>
    <w:rsid w:val="002933F9"/>
    <w:rsid w:val="00293C7D"/>
    <w:rsid w:val="002966A7"/>
    <w:rsid w:val="00296AD0"/>
    <w:rsid w:val="0029793B"/>
    <w:rsid w:val="002A2234"/>
    <w:rsid w:val="002B10D2"/>
    <w:rsid w:val="002B27B7"/>
    <w:rsid w:val="002B57DC"/>
    <w:rsid w:val="002B66CD"/>
    <w:rsid w:val="002C1785"/>
    <w:rsid w:val="002C2E74"/>
    <w:rsid w:val="002C6229"/>
    <w:rsid w:val="002D1104"/>
    <w:rsid w:val="002D304F"/>
    <w:rsid w:val="002D6532"/>
    <w:rsid w:val="002D66A8"/>
    <w:rsid w:val="002E06AC"/>
    <w:rsid w:val="002E1CFD"/>
    <w:rsid w:val="002E2F37"/>
    <w:rsid w:val="002E4489"/>
    <w:rsid w:val="002E54F8"/>
    <w:rsid w:val="002E559E"/>
    <w:rsid w:val="002E6182"/>
    <w:rsid w:val="002E64B7"/>
    <w:rsid w:val="002F3395"/>
    <w:rsid w:val="002F41BF"/>
    <w:rsid w:val="002F761A"/>
    <w:rsid w:val="00300582"/>
    <w:rsid w:val="00300F35"/>
    <w:rsid w:val="00301253"/>
    <w:rsid w:val="0030227A"/>
    <w:rsid w:val="003051B4"/>
    <w:rsid w:val="003117B0"/>
    <w:rsid w:val="00311A45"/>
    <w:rsid w:val="00312618"/>
    <w:rsid w:val="00315D23"/>
    <w:rsid w:val="003300B2"/>
    <w:rsid w:val="00330910"/>
    <w:rsid w:val="00333CA9"/>
    <w:rsid w:val="0033435E"/>
    <w:rsid w:val="00335721"/>
    <w:rsid w:val="00343C49"/>
    <w:rsid w:val="00344FAA"/>
    <w:rsid w:val="00345F4F"/>
    <w:rsid w:val="00346D34"/>
    <w:rsid w:val="00347469"/>
    <w:rsid w:val="00354195"/>
    <w:rsid w:val="0035578C"/>
    <w:rsid w:val="0036359D"/>
    <w:rsid w:val="00363669"/>
    <w:rsid w:val="00377D7A"/>
    <w:rsid w:val="00381EC4"/>
    <w:rsid w:val="00382579"/>
    <w:rsid w:val="00386869"/>
    <w:rsid w:val="0039360A"/>
    <w:rsid w:val="0039557F"/>
    <w:rsid w:val="00395712"/>
    <w:rsid w:val="00396262"/>
    <w:rsid w:val="003A0F74"/>
    <w:rsid w:val="003A1FDC"/>
    <w:rsid w:val="003A4541"/>
    <w:rsid w:val="003A6A4A"/>
    <w:rsid w:val="003B05C4"/>
    <w:rsid w:val="003B35D5"/>
    <w:rsid w:val="003B48C7"/>
    <w:rsid w:val="003B795B"/>
    <w:rsid w:val="003C5CEB"/>
    <w:rsid w:val="003C7AA2"/>
    <w:rsid w:val="003D64EB"/>
    <w:rsid w:val="003E1239"/>
    <w:rsid w:val="003E12E2"/>
    <w:rsid w:val="003E26CD"/>
    <w:rsid w:val="003E4D7E"/>
    <w:rsid w:val="003E5147"/>
    <w:rsid w:val="003E66BB"/>
    <w:rsid w:val="003E7756"/>
    <w:rsid w:val="003E798C"/>
    <w:rsid w:val="003F1CF1"/>
    <w:rsid w:val="003F23FB"/>
    <w:rsid w:val="003F2AC4"/>
    <w:rsid w:val="003F40DF"/>
    <w:rsid w:val="00400230"/>
    <w:rsid w:val="00402C1D"/>
    <w:rsid w:val="004041A7"/>
    <w:rsid w:val="00404754"/>
    <w:rsid w:val="0041437C"/>
    <w:rsid w:val="00415054"/>
    <w:rsid w:val="0042030D"/>
    <w:rsid w:val="00425740"/>
    <w:rsid w:val="00426F12"/>
    <w:rsid w:val="0043467C"/>
    <w:rsid w:val="00435E29"/>
    <w:rsid w:val="00436212"/>
    <w:rsid w:val="00436267"/>
    <w:rsid w:val="00436C91"/>
    <w:rsid w:val="00437969"/>
    <w:rsid w:val="00444854"/>
    <w:rsid w:val="004468F1"/>
    <w:rsid w:val="00453011"/>
    <w:rsid w:val="00455608"/>
    <w:rsid w:val="00455677"/>
    <w:rsid w:val="004570C7"/>
    <w:rsid w:val="004600E6"/>
    <w:rsid w:val="00460525"/>
    <w:rsid w:val="0046489A"/>
    <w:rsid w:val="00470031"/>
    <w:rsid w:val="004763AC"/>
    <w:rsid w:val="0047744F"/>
    <w:rsid w:val="00477E7F"/>
    <w:rsid w:val="00481E85"/>
    <w:rsid w:val="00482A0B"/>
    <w:rsid w:val="00484DFD"/>
    <w:rsid w:val="0049050F"/>
    <w:rsid w:val="00490BF9"/>
    <w:rsid w:val="00491527"/>
    <w:rsid w:val="004945FC"/>
    <w:rsid w:val="0049770F"/>
    <w:rsid w:val="004A0825"/>
    <w:rsid w:val="004A1BA0"/>
    <w:rsid w:val="004A1D1B"/>
    <w:rsid w:val="004A27C6"/>
    <w:rsid w:val="004A60C8"/>
    <w:rsid w:val="004A7D1C"/>
    <w:rsid w:val="004B0ED5"/>
    <w:rsid w:val="004B301B"/>
    <w:rsid w:val="004B37B3"/>
    <w:rsid w:val="004B38C1"/>
    <w:rsid w:val="004B62D1"/>
    <w:rsid w:val="004B66B4"/>
    <w:rsid w:val="004C0E55"/>
    <w:rsid w:val="004C1243"/>
    <w:rsid w:val="004C1EA9"/>
    <w:rsid w:val="004C2CD9"/>
    <w:rsid w:val="004C6033"/>
    <w:rsid w:val="004C6E38"/>
    <w:rsid w:val="004D143E"/>
    <w:rsid w:val="004D4B4B"/>
    <w:rsid w:val="004E19A2"/>
    <w:rsid w:val="004E228B"/>
    <w:rsid w:val="004E5FC9"/>
    <w:rsid w:val="004E7024"/>
    <w:rsid w:val="004E7146"/>
    <w:rsid w:val="004E73FB"/>
    <w:rsid w:val="004E7F39"/>
    <w:rsid w:val="004F124D"/>
    <w:rsid w:val="004F1A19"/>
    <w:rsid w:val="00505DB7"/>
    <w:rsid w:val="005068AC"/>
    <w:rsid w:val="0051137F"/>
    <w:rsid w:val="00512CB2"/>
    <w:rsid w:val="005150AA"/>
    <w:rsid w:val="005178F1"/>
    <w:rsid w:val="00523370"/>
    <w:rsid w:val="00523891"/>
    <w:rsid w:val="00526F86"/>
    <w:rsid w:val="00530936"/>
    <w:rsid w:val="00532744"/>
    <w:rsid w:val="00537ED9"/>
    <w:rsid w:val="00547B8D"/>
    <w:rsid w:val="00552EE3"/>
    <w:rsid w:val="0055427C"/>
    <w:rsid w:val="00555878"/>
    <w:rsid w:val="00560483"/>
    <w:rsid w:val="00560DF5"/>
    <w:rsid w:val="0056103F"/>
    <w:rsid w:val="0056142F"/>
    <w:rsid w:val="00561672"/>
    <w:rsid w:val="0056607D"/>
    <w:rsid w:val="00566BE9"/>
    <w:rsid w:val="00567AFA"/>
    <w:rsid w:val="00567C7E"/>
    <w:rsid w:val="00570BF4"/>
    <w:rsid w:val="00572EE1"/>
    <w:rsid w:val="00573C36"/>
    <w:rsid w:val="005741AB"/>
    <w:rsid w:val="00575A72"/>
    <w:rsid w:val="005762B2"/>
    <w:rsid w:val="00581D5A"/>
    <w:rsid w:val="00583414"/>
    <w:rsid w:val="00583B69"/>
    <w:rsid w:val="005866D6"/>
    <w:rsid w:val="00586B02"/>
    <w:rsid w:val="005921A8"/>
    <w:rsid w:val="005921F7"/>
    <w:rsid w:val="00596086"/>
    <w:rsid w:val="005A1A88"/>
    <w:rsid w:val="005A4423"/>
    <w:rsid w:val="005A720F"/>
    <w:rsid w:val="005A76B0"/>
    <w:rsid w:val="005B48A4"/>
    <w:rsid w:val="005B5ED2"/>
    <w:rsid w:val="005B6581"/>
    <w:rsid w:val="005C2A94"/>
    <w:rsid w:val="005D0E04"/>
    <w:rsid w:val="005D1F9C"/>
    <w:rsid w:val="005D5F57"/>
    <w:rsid w:val="005D60FB"/>
    <w:rsid w:val="005E0970"/>
    <w:rsid w:val="005E4245"/>
    <w:rsid w:val="005E4BB0"/>
    <w:rsid w:val="005E6C73"/>
    <w:rsid w:val="005F3943"/>
    <w:rsid w:val="005F4E3E"/>
    <w:rsid w:val="005F719F"/>
    <w:rsid w:val="006013AC"/>
    <w:rsid w:val="00604FEE"/>
    <w:rsid w:val="00606033"/>
    <w:rsid w:val="00607CC6"/>
    <w:rsid w:val="00611400"/>
    <w:rsid w:val="00611403"/>
    <w:rsid w:val="006149F2"/>
    <w:rsid w:val="00614E54"/>
    <w:rsid w:val="00615498"/>
    <w:rsid w:val="006206B2"/>
    <w:rsid w:val="00625063"/>
    <w:rsid w:val="00625643"/>
    <w:rsid w:val="00627C4A"/>
    <w:rsid w:val="00630BB6"/>
    <w:rsid w:val="00630C9B"/>
    <w:rsid w:val="00634C4D"/>
    <w:rsid w:val="0063500A"/>
    <w:rsid w:val="00635AA5"/>
    <w:rsid w:val="00637FED"/>
    <w:rsid w:val="00640085"/>
    <w:rsid w:val="006410B7"/>
    <w:rsid w:val="00643030"/>
    <w:rsid w:val="006452F1"/>
    <w:rsid w:val="00647E47"/>
    <w:rsid w:val="00651EB0"/>
    <w:rsid w:val="00654097"/>
    <w:rsid w:val="006547A1"/>
    <w:rsid w:val="0065778A"/>
    <w:rsid w:val="006637E7"/>
    <w:rsid w:val="00663BE9"/>
    <w:rsid w:val="00665536"/>
    <w:rsid w:val="0066760D"/>
    <w:rsid w:val="00670806"/>
    <w:rsid w:val="006743F4"/>
    <w:rsid w:val="006744CD"/>
    <w:rsid w:val="006746F5"/>
    <w:rsid w:val="006760E3"/>
    <w:rsid w:val="0068019A"/>
    <w:rsid w:val="00681E17"/>
    <w:rsid w:val="00684C06"/>
    <w:rsid w:val="00691861"/>
    <w:rsid w:val="0069537C"/>
    <w:rsid w:val="006A2A31"/>
    <w:rsid w:val="006A34F2"/>
    <w:rsid w:val="006A45E5"/>
    <w:rsid w:val="006A607B"/>
    <w:rsid w:val="006B171D"/>
    <w:rsid w:val="006B542C"/>
    <w:rsid w:val="006B608E"/>
    <w:rsid w:val="006C09FD"/>
    <w:rsid w:val="006C376A"/>
    <w:rsid w:val="006C45D0"/>
    <w:rsid w:val="006C4C20"/>
    <w:rsid w:val="006D0958"/>
    <w:rsid w:val="006D6649"/>
    <w:rsid w:val="006D6940"/>
    <w:rsid w:val="006D72C0"/>
    <w:rsid w:val="006E65B2"/>
    <w:rsid w:val="006E6714"/>
    <w:rsid w:val="006F0FCD"/>
    <w:rsid w:val="006F120D"/>
    <w:rsid w:val="007111D8"/>
    <w:rsid w:val="00715215"/>
    <w:rsid w:val="007168FF"/>
    <w:rsid w:val="0071749F"/>
    <w:rsid w:val="007204B8"/>
    <w:rsid w:val="007208E8"/>
    <w:rsid w:val="00722365"/>
    <w:rsid w:val="00722484"/>
    <w:rsid w:val="00722A1E"/>
    <w:rsid w:val="00722DF9"/>
    <w:rsid w:val="00723791"/>
    <w:rsid w:val="00730FBB"/>
    <w:rsid w:val="0073155B"/>
    <w:rsid w:val="007348A9"/>
    <w:rsid w:val="007447A0"/>
    <w:rsid w:val="00744E3F"/>
    <w:rsid w:val="0075269D"/>
    <w:rsid w:val="007551A2"/>
    <w:rsid w:val="0076002B"/>
    <w:rsid w:val="00763E3B"/>
    <w:rsid w:val="0076663C"/>
    <w:rsid w:val="0077234A"/>
    <w:rsid w:val="007734D3"/>
    <w:rsid w:val="007737FD"/>
    <w:rsid w:val="00774F27"/>
    <w:rsid w:val="00775DA1"/>
    <w:rsid w:val="00777E64"/>
    <w:rsid w:val="00780DF1"/>
    <w:rsid w:val="00784814"/>
    <w:rsid w:val="00785664"/>
    <w:rsid w:val="0079059A"/>
    <w:rsid w:val="00791CFD"/>
    <w:rsid w:val="00795F9E"/>
    <w:rsid w:val="00796C7A"/>
    <w:rsid w:val="00797D0B"/>
    <w:rsid w:val="007A1C77"/>
    <w:rsid w:val="007A594D"/>
    <w:rsid w:val="007B0BE9"/>
    <w:rsid w:val="007B1193"/>
    <w:rsid w:val="007B24D3"/>
    <w:rsid w:val="007B4228"/>
    <w:rsid w:val="007B4CA8"/>
    <w:rsid w:val="007B561C"/>
    <w:rsid w:val="007C0487"/>
    <w:rsid w:val="007C068D"/>
    <w:rsid w:val="007C1ABA"/>
    <w:rsid w:val="007C1BFB"/>
    <w:rsid w:val="007C2005"/>
    <w:rsid w:val="007C37A8"/>
    <w:rsid w:val="007C4A2A"/>
    <w:rsid w:val="007C503D"/>
    <w:rsid w:val="007C532B"/>
    <w:rsid w:val="007C7D76"/>
    <w:rsid w:val="007D06B8"/>
    <w:rsid w:val="007D7D6F"/>
    <w:rsid w:val="007E1997"/>
    <w:rsid w:val="007F119F"/>
    <w:rsid w:val="007F155C"/>
    <w:rsid w:val="007F44C9"/>
    <w:rsid w:val="007F4724"/>
    <w:rsid w:val="007F63E9"/>
    <w:rsid w:val="007F71D3"/>
    <w:rsid w:val="008006ED"/>
    <w:rsid w:val="00804BB7"/>
    <w:rsid w:val="00805D43"/>
    <w:rsid w:val="00806AE8"/>
    <w:rsid w:val="00807597"/>
    <w:rsid w:val="00807984"/>
    <w:rsid w:val="00810590"/>
    <w:rsid w:val="00820BB3"/>
    <w:rsid w:val="00822DA4"/>
    <w:rsid w:val="00823DEA"/>
    <w:rsid w:val="008249AF"/>
    <w:rsid w:val="00826FB6"/>
    <w:rsid w:val="00832ECA"/>
    <w:rsid w:val="00835B8A"/>
    <w:rsid w:val="00840969"/>
    <w:rsid w:val="008409CE"/>
    <w:rsid w:val="0084410D"/>
    <w:rsid w:val="008459C4"/>
    <w:rsid w:val="00846F9E"/>
    <w:rsid w:val="0085118B"/>
    <w:rsid w:val="008536DB"/>
    <w:rsid w:val="00854816"/>
    <w:rsid w:val="008551E7"/>
    <w:rsid w:val="0085588E"/>
    <w:rsid w:val="00860B8F"/>
    <w:rsid w:val="008627D4"/>
    <w:rsid w:val="00863A1E"/>
    <w:rsid w:val="00870065"/>
    <w:rsid w:val="00873D29"/>
    <w:rsid w:val="00876EA3"/>
    <w:rsid w:val="00880546"/>
    <w:rsid w:val="00884360"/>
    <w:rsid w:val="0088447F"/>
    <w:rsid w:val="0088679F"/>
    <w:rsid w:val="00886F92"/>
    <w:rsid w:val="00890E23"/>
    <w:rsid w:val="00891577"/>
    <w:rsid w:val="008A15B8"/>
    <w:rsid w:val="008A41D4"/>
    <w:rsid w:val="008A5609"/>
    <w:rsid w:val="008A56EF"/>
    <w:rsid w:val="008A6933"/>
    <w:rsid w:val="008B02A8"/>
    <w:rsid w:val="008B09AC"/>
    <w:rsid w:val="008B3B6A"/>
    <w:rsid w:val="008B467A"/>
    <w:rsid w:val="008B5AC0"/>
    <w:rsid w:val="008D0AD5"/>
    <w:rsid w:val="008D146B"/>
    <w:rsid w:val="008D2615"/>
    <w:rsid w:val="008D3784"/>
    <w:rsid w:val="008D3854"/>
    <w:rsid w:val="008D3A31"/>
    <w:rsid w:val="008D63C8"/>
    <w:rsid w:val="008D78E0"/>
    <w:rsid w:val="008D7AC0"/>
    <w:rsid w:val="008E0D57"/>
    <w:rsid w:val="008E0EAB"/>
    <w:rsid w:val="008E1347"/>
    <w:rsid w:val="008E7493"/>
    <w:rsid w:val="008E7A98"/>
    <w:rsid w:val="008E7D11"/>
    <w:rsid w:val="008F0D48"/>
    <w:rsid w:val="008F25F1"/>
    <w:rsid w:val="008F2DE1"/>
    <w:rsid w:val="008F4C9B"/>
    <w:rsid w:val="008F6737"/>
    <w:rsid w:val="008F6825"/>
    <w:rsid w:val="009063F1"/>
    <w:rsid w:val="0090681B"/>
    <w:rsid w:val="00912143"/>
    <w:rsid w:val="00914826"/>
    <w:rsid w:val="00916222"/>
    <w:rsid w:val="009164C3"/>
    <w:rsid w:val="009172C7"/>
    <w:rsid w:val="00920F76"/>
    <w:rsid w:val="009215AE"/>
    <w:rsid w:val="00923BC2"/>
    <w:rsid w:val="00924127"/>
    <w:rsid w:val="009275FE"/>
    <w:rsid w:val="009279C6"/>
    <w:rsid w:val="009363EE"/>
    <w:rsid w:val="0093648B"/>
    <w:rsid w:val="00936A28"/>
    <w:rsid w:val="00936CA3"/>
    <w:rsid w:val="009378BF"/>
    <w:rsid w:val="00937D04"/>
    <w:rsid w:val="009413F4"/>
    <w:rsid w:val="0094297B"/>
    <w:rsid w:val="0094457B"/>
    <w:rsid w:val="0094760E"/>
    <w:rsid w:val="009515D8"/>
    <w:rsid w:val="0095378B"/>
    <w:rsid w:val="00954412"/>
    <w:rsid w:val="009574A5"/>
    <w:rsid w:val="009575C8"/>
    <w:rsid w:val="00957C3A"/>
    <w:rsid w:val="009643BF"/>
    <w:rsid w:val="00972105"/>
    <w:rsid w:val="00975908"/>
    <w:rsid w:val="00977157"/>
    <w:rsid w:val="0098393E"/>
    <w:rsid w:val="009843C3"/>
    <w:rsid w:val="0099104F"/>
    <w:rsid w:val="00994FC5"/>
    <w:rsid w:val="00995C6E"/>
    <w:rsid w:val="00996A85"/>
    <w:rsid w:val="00996FE6"/>
    <w:rsid w:val="009A083D"/>
    <w:rsid w:val="009A52CE"/>
    <w:rsid w:val="009A6173"/>
    <w:rsid w:val="009B00CE"/>
    <w:rsid w:val="009B12F3"/>
    <w:rsid w:val="009B476C"/>
    <w:rsid w:val="009B5120"/>
    <w:rsid w:val="009B5359"/>
    <w:rsid w:val="009B71B7"/>
    <w:rsid w:val="009C67FE"/>
    <w:rsid w:val="009D012F"/>
    <w:rsid w:val="009D1ED3"/>
    <w:rsid w:val="009D4A9A"/>
    <w:rsid w:val="009D7973"/>
    <w:rsid w:val="009E7315"/>
    <w:rsid w:val="00A01158"/>
    <w:rsid w:val="00A01D9D"/>
    <w:rsid w:val="00A057AC"/>
    <w:rsid w:val="00A0683A"/>
    <w:rsid w:val="00A13C4F"/>
    <w:rsid w:val="00A141EF"/>
    <w:rsid w:val="00A14C63"/>
    <w:rsid w:val="00A2030C"/>
    <w:rsid w:val="00A25630"/>
    <w:rsid w:val="00A26CE8"/>
    <w:rsid w:val="00A36131"/>
    <w:rsid w:val="00A405AB"/>
    <w:rsid w:val="00A43484"/>
    <w:rsid w:val="00A45489"/>
    <w:rsid w:val="00A4654E"/>
    <w:rsid w:val="00A46DC5"/>
    <w:rsid w:val="00A53341"/>
    <w:rsid w:val="00A54B81"/>
    <w:rsid w:val="00A55DF5"/>
    <w:rsid w:val="00A56EF0"/>
    <w:rsid w:val="00A578C8"/>
    <w:rsid w:val="00A57C6A"/>
    <w:rsid w:val="00A608AE"/>
    <w:rsid w:val="00A636BB"/>
    <w:rsid w:val="00A654E4"/>
    <w:rsid w:val="00A71C8F"/>
    <w:rsid w:val="00A84317"/>
    <w:rsid w:val="00A87473"/>
    <w:rsid w:val="00A87B84"/>
    <w:rsid w:val="00A90614"/>
    <w:rsid w:val="00A906CF"/>
    <w:rsid w:val="00A90963"/>
    <w:rsid w:val="00A918E7"/>
    <w:rsid w:val="00A92443"/>
    <w:rsid w:val="00A92FD2"/>
    <w:rsid w:val="00AA3C94"/>
    <w:rsid w:val="00AA5995"/>
    <w:rsid w:val="00AA72FA"/>
    <w:rsid w:val="00AB081A"/>
    <w:rsid w:val="00AB1568"/>
    <w:rsid w:val="00AB1FCE"/>
    <w:rsid w:val="00AB2291"/>
    <w:rsid w:val="00AB2BB6"/>
    <w:rsid w:val="00AB2EB9"/>
    <w:rsid w:val="00AB2F2F"/>
    <w:rsid w:val="00AB35F1"/>
    <w:rsid w:val="00AB42A8"/>
    <w:rsid w:val="00AB49E7"/>
    <w:rsid w:val="00AB4B60"/>
    <w:rsid w:val="00AB7072"/>
    <w:rsid w:val="00AB7C14"/>
    <w:rsid w:val="00AC0741"/>
    <w:rsid w:val="00AC080D"/>
    <w:rsid w:val="00AC1BA3"/>
    <w:rsid w:val="00AC44EA"/>
    <w:rsid w:val="00AD0ADF"/>
    <w:rsid w:val="00AD3450"/>
    <w:rsid w:val="00AD429C"/>
    <w:rsid w:val="00AD5815"/>
    <w:rsid w:val="00AD5E83"/>
    <w:rsid w:val="00AD7733"/>
    <w:rsid w:val="00AE1DA8"/>
    <w:rsid w:val="00AE1F0E"/>
    <w:rsid w:val="00AE38D8"/>
    <w:rsid w:val="00AE4BF4"/>
    <w:rsid w:val="00AE4D80"/>
    <w:rsid w:val="00AE6791"/>
    <w:rsid w:val="00AE6B55"/>
    <w:rsid w:val="00AF10ED"/>
    <w:rsid w:val="00AF29F1"/>
    <w:rsid w:val="00AF503D"/>
    <w:rsid w:val="00AF7800"/>
    <w:rsid w:val="00B0265A"/>
    <w:rsid w:val="00B04B6A"/>
    <w:rsid w:val="00B0577C"/>
    <w:rsid w:val="00B0692E"/>
    <w:rsid w:val="00B06A7D"/>
    <w:rsid w:val="00B0763D"/>
    <w:rsid w:val="00B10B86"/>
    <w:rsid w:val="00B10CF1"/>
    <w:rsid w:val="00B120DC"/>
    <w:rsid w:val="00B142CD"/>
    <w:rsid w:val="00B156F5"/>
    <w:rsid w:val="00B1757C"/>
    <w:rsid w:val="00B17EA6"/>
    <w:rsid w:val="00B21D82"/>
    <w:rsid w:val="00B22949"/>
    <w:rsid w:val="00B23DCE"/>
    <w:rsid w:val="00B27C8E"/>
    <w:rsid w:val="00B30814"/>
    <w:rsid w:val="00B33984"/>
    <w:rsid w:val="00B34281"/>
    <w:rsid w:val="00B3593B"/>
    <w:rsid w:val="00B35CEC"/>
    <w:rsid w:val="00B3607C"/>
    <w:rsid w:val="00B424CF"/>
    <w:rsid w:val="00B47362"/>
    <w:rsid w:val="00B51F87"/>
    <w:rsid w:val="00B5493B"/>
    <w:rsid w:val="00B551C7"/>
    <w:rsid w:val="00B571DC"/>
    <w:rsid w:val="00B6632B"/>
    <w:rsid w:val="00B708F3"/>
    <w:rsid w:val="00B7289D"/>
    <w:rsid w:val="00B72ABF"/>
    <w:rsid w:val="00B7350E"/>
    <w:rsid w:val="00B742C6"/>
    <w:rsid w:val="00B7649A"/>
    <w:rsid w:val="00B76FF9"/>
    <w:rsid w:val="00B8233D"/>
    <w:rsid w:val="00B82391"/>
    <w:rsid w:val="00B92F20"/>
    <w:rsid w:val="00B963B8"/>
    <w:rsid w:val="00BA04E4"/>
    <w:rsid w:val="00BA0C63"/>
    <w:rsid w:val="00BA3578"/>
    <w:rsid w:val="00BA6503"/>
    <w:rsid w:val="00BA7CDF"/>
    <w:rsid w:val="00BB1D6B"/>
    <w:rsid w:val="00BB1DCB"/>
    <w:rsid w:val="00BB310A"/>
    <w:rsid w:val="00BB3BCF"/>
    <w:rsid w:val="00BB42C1"/>
    <w:rsid w:val="00BB4A89"/>
    <w:rsid w:val="00BB56AC"/>
    <w:rsid w:val="00BB5B3E"/>
    <w:rsid w:val="00BC043B"/>
    <w:rsid w:val="00BC1144"/>
    <w:rsid w:val="00BC1771"/>
    <w:rsid w:val="00BC332C"/>
    <w:rsid w:val="00BD03B2"/>
    <w:rsid w:val="00BD21D3"/>
    <w:rsid w:val="00BD476A"/>
    <w:rsid w:val="00BD4910"/>
    <w:rsid w:val="00BD555A"/>
    <w:rsid w:val="00BE03EF"/>
    <w:rsid w:val="00BE159A"/>
    <w:rsid w:val="00BE1EE5"/>
    <w:rsid w:val="00BE203B"/>
    <w:rsid w:val="00BE47C4"/>
    <w:rsid w:val="00BE48C1"/>
    <w:rsid w:val="00BE55CD"/>
    <w:rsid w:val="00BF1B99"/>
    <w:rsid w:val="00BF242C"/>
    <w:rsid w:val="00BF3FB2"/>
    <w:rsid w:val="00BF5B07"/>
    <w:rsid w:val="00C015A0"/>
    <w:rsid w:val="00C01DD3"/>
    <w:rsid w:val="00C02125"/>
    <w:rsid w:val="00C02AD9"/>
    <w:rsid w:val="00C05536"/>
    <w:rsid w:val="00C07953"/>
    <w:rsid w:val="00C07AD1"/>
    <w:rsid w:val="00C17520"/>
    <w:rsid w:val="00C20DB8"/>
    <w:rsid w:val="00C22200"/>
    <w:rsid w:val="00C22569"/>
    <w:rsid w:val="00C26F97"/>
    <w:rsid w:val="00C31A84"/>
    <w:rsid w:val="00C332CF"/>
    <w:rsid w:val="00C33F95"/>
    <w:rsid w:val="00C34286"/>
    <w:rsid w:val="00C3473A"/>
    <w:rsid w:val="00C36EBB"/>
    <w:rsid w:val="00C36EEB"/>
    <w:rsid w:val="00C36F8D"/>
    <w:rsid w:val="00C37996"/>
    <w:rsid w:val="00C41387"/>
    <w:rsid w:val="00C42C2A"/>
    <w:rsid w:val="00C43C28"/>
    <w:rsid w:val="00C43C4A"/>
    <w:rsid w:val="00C5006D"/>
    <w:rsid w:val="00C5214A"/>
    <w:rsid w:val="00C533D8"/>
    <w:rsid w:val="00C53A31"/>
    <w:rsid w:val="00C54D55"/>
    <w:rsid w:val="00C56079"/>
    <w:rsid w:val="00C57025"/>
    <w:rsid w:val="00C60835"/>
    <w:rsid w:val="00C62670"/>
    <w:rsid w:val="00C62AFE"/>
    <w:rsid w:val="00C70470"/>
    <w:rsid w:val="00C705E9"/>
    <w:rsid w:val="00C70A09"/>
    <w:rsid w:val="00C73A63"/>
    <w:rsid w:val="00C74E2C"/>
    <w:rsid w:val="00C764DE"/>
    <w:rsid w:val="00C8109E"/>
    <w:rsid w:val="00C8117E"/>
    <w:rsid w:val="00C82EA2"/>
    <w:rsid w:val="00C82EE1"/>
    <w:rsid w:val="00C83B18"/>
    <w:rsid w:val="00C85C74"/>
    <w:rsid w:val="00C930CA"/>
    <w:rsid w:val="00C9419B"/>
    <w:rsid w:val="00CA00C7"/>
    <w:rsid w:val="00CA0DB3"/>
    <w:rsid w:val="00CA1E9F"/>
    <w:rsid w:val="00CA4081"/>
    <w:rsid w:val="00CA4950"/>
    <w:rsid w:val="00CA4DF6"/>
    <w:rsid w:val="00CA5C2B"/>
    <w:rsid w:val="00CA660F"/>
    <w:rsid w:val="00CA688C"/>
    <w:rsid w:val="00CB2D72"/>
    <w:rsid w:val="00CB5368"/>
    <w:rsid w:val="00CB7C85"/>
    <w:rsid w:val="00CC2E68"/>
    <w:rsid w:val="00CC369A"/>
    <w:rsid w:val="00CC59F5"/>
    <w:rsid w:val="00CD052F"/>
    <w:rsid w:val="00CD36BB"/>
    <w:rsid w:val="00CD4A6E"/>
    <w:rsid w:val="00CD6E3B"/>
    <w:rsid w:val="00CE03E8"/>
    <w:rsid w:val="00CE186C"/>
    <w:rsid w:val="00CE36DF"/>
    <w:rsid w:val="00CE399F"/>
    <w:rsid w:val="00CE75E5"/>
    <w:rsid w:val="00CE7737"/>
    <w:rsid w:val="00CF0598"/>
    <w:rsid w:val="00CF0988"/>
    <w:rsid w:val="00CF10AD"/>
    <w:rsid w:val="00CF35EF"/>
    <w:rsid w:val="00CF37DC"/>
    <w:rsid w:val="00D042D8"/>
    <w:rsid w:val="00D10317"/>
    <w:rsid w:val="00D145F2"/>
    <w:rsid w:val="00D14AC7"/>
    <w:rsid w:val="00D15491"/>
    <w:rsid w:val="00D162BD"/>
    <w:rsid w:val="00D165A4"/>
    <w:rsid w:val="00D17B72"/>
    <w:rsid w:val="00D17D43"/>
    <w:rsid w:val="00D201D0"/>
    <w:rsid w:val="00D20FFF"/>
    <w:rsid w:val="00D218B6"/>
    <w:rsid w:val="00D263ED"/>
    <w:rsid w:val="00D2798A"/>
    <w:rsid w:val="00D30FBC"/>
    <w:rsid w:val="00D322AF"/>
    <w:rsid w:val="00D32DA9"/>
    <w:rsid w:val="00D3483F"/>
    <w:rsid w:val="00D353D2"/>
    <w:rsid w:val="00D406A4"/>
    <w:rsid w:val="00D46730"/>
    <w:rsid w:val="00D55A96"/>
    <w:rsid w:val="00D567F6"/>
    <w:rsid w:val="00D607A4"/>
    <w:rsid w:val="00D607B6"/>
    <w:rsid w:val="00D607CA"/>
    <w:rsid w:val="00D60C64"/>
    <w:rsid w:val="00D63136"/>
    <w:rsid w:val="00D6411B"/>
    <w:rsid w:val="00D6417A"/>
    <w:rsid w:val="00D67CA6"/>
    <w:rsid w:val="00D67FA1"/>
    <w:rsid w:val="00D7423E"/>
    <w:rsid w:val="00D75B48"/>
    <w:rsid w:val="00D7661D"/>
    <w:rsid w:val="00D76D5A"/>
    <w:rsid w:val="00D817C8"/>
    <w:rsid w:val="00D8385E"/>
    <w:rsid w:val="00D8600F"/>
    <w:rsid w:val="00D90CF6"/>
    <w:rsid w:val="00D96923"/>
    <w:rsid w:val="00DA4038"/>
    <w:rsid w:val="00DA7608"/>
    <w:rsid w:val="00DA7E83"/>
    <w:rsid w:val="00DB0C2D"/>
    <w:rsid w:val="00DB344D"/>
    <w:rsid w:val="00DB3BC1"/>
    <w:rsid w:val="00DB5CAF"/>
    <w:rsid w:val="00DC0037"/>
    <w:rsid w:val="00DC0810"/>
    <w:rsid w:val="00DC1042"/>
    <w:rsid w:val="00DC1394"/>
    <w:rsid w:val="00DD2035"/>
    <w:rsid w:val="00DD351F"/>
    <w:rsid w:val="00DD6256"/>
    <w:rsid w:val="00DD7DE5"/>
    <w:rsid w:val="00DE30F2"/>
    <w:rsid w:val="00DE4E06"/>
    <w:rsid w:val="00DF0807"/>
    <w:rsid w:val="00DF0FA3"/>
    <w:rsid w:val="00DF419A"/>
    <w:rsid w:val="00DF4241"/>
    <w:rsid w:val="00DF76A5"/>
    <w:rsid w:val="00E00692"/>
    <w:rsid w:val="00E0357C"/>
    <w:rsid w:val="00E047CF"/>
    <w:rsid w:val="00E04853"/>
    <w:rsid w:val="00E1047E"/>
    <w:rsid w:val="00E12F85"/>
    <w:rsid w:val="00E136EB"/>
    <w:rsid w:val="00E14A30"/>
    <w:rsid w:val="00E15A83"/>
    <w:rsid w:val="00E20C57"/>
    <w:rsid w:val="00E20F45"/>
    <w:rsid w:val="00E22515"/>
    <w:rsid w:val="00E2257F"/>
    <w:rsid w:val="00E2403A"/>
    <w:rsid w:val="00E25A04"/>
    <w:rsid w:val="00E27B97"/>
    <w:rsid w:val="00E3259D"/>
    <w:rsid w:val="00E3625A"/>
    <w:rsid w:val="00E421C5"/>
    <w:rsid w:val="00E546F0"/>
    <w:rsid w:val="00E60D18"/>
    <w:rsid w:val="00E6482A"/>
    <w:rsid w:val="00E660EC"/>
    <w:rsid w:val="00E670FD"/>
    <w:rsid w:val="00E674EE"/>
    <w:rsid w:val="00E67BBC"/>
    <w:rsid w:val="00E67D92"/>
    <w:rsid w:val="00E71725"/>
    <w:rsid w:val="00E71F6F"/>
    <w:rsid w:val="00E72571"/>
    <w:rsid w:val="00E733B3"/>
    <w:rsid w:val="00E749C8"/>
    <w:rsid w:val="00E77608"/>
    <w:rsid w:val="00E8434E"/>
    <w:rsid w:val="00E846BD"/>
    <w:rsid w:val="00E868BC"/>
    <w:rsid w:val="00E919DF"/>
    <w:rsid w:val="00E91B2E"/>
    <w:rsid w:val="00E93024"/>
    <w:rsid w:val="00E93DD7"/>
    <w:rsid w:val="00EA1B9F"/>
    <w:rsid w:val="00EA1FC1"/>
    <w:rsid w:val="00EA27E3"/>
    <w:rsid w:val="00EA680D"/>
    <w:rsid w:val="00EB11AA"/>
    <w:rsid w:val="00EB395B"/>
    <w:rsid w:val="00EB56EC"/>
    <w:rsid w:val="00EB5CF5"/>
    <w:rsid w:val="00EC1B07"/>
    <w:rsid w:val="00EC3AD2"/>
    <w:rsid w:val="00EC5581"/>
    <w:rsid w:val="00EC66E7"/>
    <w:rsid w:val="00EC7340"/>
    <w:rsid w:val="00ED1CEC"/>
    <w:rsid w:val="00ED6FC8"/>
    <w:rsid w:val="00EE1E89"/>
    <w:rsid w:val="00EE39FB"/>
    <w:rsid w:val="00EE5358"/>
    <w:rsid w:val="00EE63D8"/>
    <w:rsid w:val="00EE7EAC"/>
    <w:rsid w:val="00EF00B7"/>
    <w:rsid w:val="00EF046C"/>
    <w:rsid w:val="00EF0539"/>
    <w:rsid w:val="00EF2E53"/>
    <w:rsid w:val="00EF64B4"/>
    <w:rsid w:val="00F04F74"/>
    <w:rsid w:val="00F0581A"/>
    <w:rsid w:val="00F06768"/>
    <w:rsid w:val="00F1040C"/>
    <w:rsid w:val="00F10BED"/>
    <w:rsid w:val="00F12791"/>
    <w:rsid w:val="00F135AB"/>
    <w:rsid w:val="00F14384"/>
    <w:rsid w:val="00F16045"/>
    <w:rsid w:val="00F20C18"/>
    <w:rsid w:val="00F2325F"/>
    <w:rsid w:val="00F30B85"/>
    <w:rsid w:val="00F31388"/>
    <w:rsid w:val="00F3416B"/>
    <w:rsid w:val="00F40744"/>
    <w:rsid w:val="00F41416"/>
    <w:rsid w:val="00F4316C"/>
    <w:rsid w:val="00F44F19"/>
    <w:rsid w:val="00F47B17"/>
    <w:rsid w:val="00F50CB9"/>
    <w:rsid w:val="00F5412C"/>
    <w:rsid w:val="00F6148B"/>
    <w:rsid w:val="00F62165"/>
    <w:rsid w:val="00F6504B"/>
    <w:rsid w:val="00F653FD"/>
    <w:rsid w:val="00F65ACB"/>
    <w:rsid w:val="00F72434"/>
    <w:rsid w:val="00F74A1C"/>
    <w:rsid w:val="00F76A70"/>
    <w:rsid w:val="00F833A5"/>
    <w:rsid w:val="00F83A57"/>
    <w:rsid w:val="00F85FD6"/>
    <w:rsid w:val="00F871E6"/>
    <w:rsid w:val="00F92775"/>
    <w:rsid w:val="00F943DF"/>
    <w:rsid w:val="00F96C1A"/>
    <w:rsid w:val="00FA032A"/>
    <w:rsid w:val="00FA2043"/>
    <w:rsid w:val="00FA7712"/>
    <w:rsid w:val="00FA7D60"/>
    <w:rsid w:val="00FB0DA8"/>
    <w:rsid w:val="00FB44B8"/>
    <w:rsid w:val="00FB4E76"/>
    <w:rsid w:val="00FC54B0"/>
    <w:rsid w:val="00FD14B3"/>
    <w:rsid w:val="00FD2C3F"/>
    <w:rsid w:val="00FD7E1D"/>
    <w:rsid w:val="00FE07D4"/>
    <w:rsid w:val="00FE179C"/>
    <w:rsid w:val="00FE1D13"/>
    <w:rsid w:val="00FE27E1"/>
    <w:rsid w:val="00FE2B16"/>
    <w:rsid w:val="00FE7427"/>
    <w:rsid w:val="00FF026E"/>
    <w:rsid w:val="00FF0434"/>
    <w:rsid w:val="00FF1DFB"/>
    <w:rsid w:val="00FF486B"/>
    <w:rsid w:val="00FF4CA3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C997"/>
  <w15:docId w15:val="{CD682233-3D8F-4DB4-82F3-95AA97A2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40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1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3E0E"/>
  </w:style>
  <w:style w:type="character" w:styleId="a5">
    <w:name w:val="Hyperlink"/>
    <w:basedOn w:val="a0"/>
    <w:uiPriority w:val="99"/>
    <w:unhideWhenUsed/>
    <w:qFormat/>
    <w:rsid w:val="00D567F6"/>
    <w:rPr>
      <w:color w:val="0000FF"/>
      <w:u w:val="single"/>
    </w:rPr>
  </w:style>
  <w:style w:type="paragraph" w:styleId="a6">
    <w:name w:val="Body Text"/>
    <w:aliases w:val="Заголовок Приложений"/>
    <w:basedOn w:val="a"/>
    <w:link w:val="a7"/>
    <w:semiHidden/>
    <w:rsid w:val="00EF05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aliases w:val="Заголовок Приложений Знак"/>
    <w:basedOn w:val="a0"/>
    <w:link w:val="a6"/>
    <w:semiHidden/>
    <w:rsid w:val="00EF05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657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778A"/>
  </w:style>
  <w:style w:type="paragraph" w:styleId="aa">
    <w:name w:val="footer"/>
    <w:basedOn w:val="a"/>
    <w:link w:val="ab"/>
    <w:uiPriority w:val="99"/>
    <w:semiHidden/>
    <w:unhideWhenUsed/>
    <w:rsid w:val="00657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5778A"/>
  </w:style>
  <w:style w:type="character" w:customStyle="1" w:styleId="h3s1">
    <w:name w:val="h3s1"/>
    <w:basedOn w:val="a0"/>
    <w:rsid w:val="00D7423E"/>
    <w:rPr>
      <w:b/>
      <w:bCs/>
      <w:vanish w:val="0"/>
      <w:webHidden w:val="0"/>
      <w:color w:val="3D7C9E"/>
      <w:sz w:val="22"/>
      <w:szCs w:val="22"/>
      <w:specVanish w:val="0"/>
    </w:rPr>
  </w:style>
  <w:style w:type="paragraph" w:styleId="ac">
    <w:name w:val="Balloon Text"/>
    <w:basedOn w:val="a"/>
    <w:link w:val="ad"/>
    <w:uiPriority w:val="99"/>
    <w:semiHidden/>
    <w:unhideWhenUsed/>
    <w:rsid w:val="00BF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5B07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7C50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C503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C503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C50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C503D"/>
    <w:rPr>
      <w:b/>
      <w:bCs/>
      <w:sz w:val="20"/>
      <w:szCs w:val="20"/>
    </w:rPr>
  </w:style>
  <w:style w:type="character" w:customStyle="1" w:styleId="st1">
    <w:name w:val="st1"/>
    <w:basedOn w:val="a0"/>
    <w:rsid w:val="00482A0B"/>
  </w:style>
  <w:style w:type="character" w:styleId="af3">
    <w:name w:val="Strong"/>
    <w:basedOn w:val="a0"/>
    <w:uiPriority w:val="22"/>
    <w:qFormat/>
    <w:rsid w:val="00C36EBB"/>
    <w:rPr>
      <w:b/>
      <w:bCs/>
    </w:rPr>
  </w:style>
  <w:style w:type="character" w:customStyle="1" w:styleId="CharStyle3">
    <w:name w:val="Char Style 3"/>
    <w:basedOn w:val="a0"/>
    <w:link w:val="Style2"/>
    <w:uiPriority w:val="99"/>
    <w:rsid w:val="003A1FDC"/>
    <w:rPr>
      <w:sz w:val="29"/>
      <w:szCs w:val="29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3A1FDC"/>
    <w:pPr>
      <w:widowControl w:val="0"/>
      <w:shd w:val="clear" w:color="auto" w:fill="FFFFFF"/>
      <w:spacing w:after="300" w:line="336" w:lineRule="exact"/>
      <w:jc w:val="both"/>
    </w:pPr>
    <w:rPr>
      <w:sz w:val="29"/>
      <w:szCs w:val="29"/>
    </w:rPr>
  </w:style>
  <w:style w:type="paragraph" w:customStyle="1" w:styleId="ConsPlusNormal">
    <w:name w:val="ConsPlusNormal"/>
    <w:rsid w:val="003E12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CB2D7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01">
    <w:name w:val="fontstyle01"/>
    <w:basedOn w:val="a0"/>
    <w:rsid w:val="006E671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PlusNonformat">
    <w:name w:val="ConsPlusNonformat"/>
    <w:rsid w:val="00CE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page number"/>
    <w:basedOn w:val="a0"/>
    <w:semiHidden/>
    <w:rsid w:val="001B6677"/>
  </w:style>
  <w:style w:type="paragraph" w:styleId="af5">
    <w:name w:val="Body Text Indent"/>
    <w:basedOn w:val="a"/>
    <w:link w:val="af6"/>
    <w:uiPriority w:val="99"/>
    <w:unhideWhenUsed/>
    <w:rsid w:val="0022005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220057"/>
  </w:style>
  <w:style w:type="character" w:customStyle="1" w:styleId="FontStyle84">
    <w:name w:val="Font Style84"/>
    <w:basedOn w:val="a0"/>
    <w:rsid w:val="00A84317"/>
    <w:rPr>
      <w:rFonts w:ascii="Times New Roman" w:hAnsi="Times New Roman" w:cs="Times New Roman"/>
      <w:sz w:val="28"/>
      <w:szCs w:val="28"/>
    </w:rPr>
  </w:style>
  <w:style w:type="paragraph" w:styleId="af7">
    <w:name w:val="footnote text"/>
    <w:basedOn w:val="a"/>
    <w:link w:val="af8"/>
    <w:uiPriority w:val="99"/>
    <w:semiHidden/>
    <w:unhideWhenUsed/>
    <w:rsid w:val="0088447F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semiHidden/>
    <w:rsid w:val="0088447F"/>
    <w:rPr>
      <w:rFonts w:eastAsiaTheme="minorEastAsia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88447F"/>
    <w:rPr>
      <w:vertAlign w:val="superscript"/>
    </w:rPr>
  </w:style>
  <w:style w:type="paragraph" w:customStyle="1" w:styleId="Point">
    <w:name w:val="Point"/>
    <w:basedOn w:val="a"/>
    <w:rsid w:val="00607CC6"/>
    <w:pPr>
      <w:spacing w:after="0" w:line="240" w:lineRule="auto"/>
      <w:ind w:right="-57"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Default">
    <w:name w:val="Default"/>
    <w:rsid w:val="00B142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106">
      <w:bodyDiv w:val="1"/>
      <w:marLeft w:val="242"/>
      <w:marRight w:val="24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4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5" w:color="E4E4E4"/>
                            <w:left w:val="single" w:sz="4" w:space="5" w:color="E4E4E4"/>
                            <w:bottom w:val="single" w:sz="4" w:space="5" w:color="E4E4E4"/>
                            <w:right w:val="single" w:sz="4" w:space="5" w:color="E4E4E4"/>
                          </w:divBdr>
                          <w:divsChild>
                            <w:div w:id="1375697578">
                              <w:marLeft w:val="0"/>
                              <w:marRight w:val="0"/>
                              <w:marTop w:val="0"/>
                              <w:marBottom w:val="121"/>
                              <w:divBdr>
                                <w:top w:val="single" w:sz="2" w:space="5" w:color="E4E4E4"/>
                                <w:left w:val="single" w:sz="2" w:space="5" w:color="E4E4E4"/>
                                <w:bottom w:val="single" w:sz="2" w:space="5" w:color="E4E4E4"/>
                                <w:right w:val="single" w:sz="2" w:space="5" w:color="E4E4E4"/>
                              </w:divBdr>
                              <w:divsChild>
                                <w:div w:id="191099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EEEEE"/>
                  </w:divBdr>
                  <w:divsChild>
                    <w:div w:id="146519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0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8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6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9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1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77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9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5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1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C2E54-F2FC-407A-8B0A-46DF0E2160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4E8FC5-EFFE-4002-BDE0-93B68C65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N. Volchek</dc:creator>
  <cp:lastModifiedBy>Невинская Марина Викторовна</cp:lastModifiedBy>
  <cp:revision>19</cp:revision>
  <cp:lastPrinted>2018-08-30T11:56:00Z</cp:lastPrinted>
  <dcterms:created xsi:type="dcterms:W3CDTF">2024-07-25T14:09:00Z</dcterms:created>
  <dcterms:modified xsi:type="dcterms:W3CDTF">2024-07-29T08:33:00Z</dcterms:modified>
</cp:coreProperties>
</file>